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D61DA" w:rsidR="00B706D8" w:rsidP="00514AA7" w:rsidRDefault="00B706D8" w14:paraId="2E3ACEC9" w14:textId="3C3AE4A4">
      <w:pPr>
        <w:tabs>
          <w:tab w:val="left" w:pos="-142"/>
        </w:tabs>
        <w:suppressAutoHyphens/>
        <w:spacing w:line="276" w:lineRule="auto"/>
        <w:rPr>
          <w:rFonts w:ascii="Verdana" w:hAnsi="Verdana" w:cs="Arial"/>
          <w:iCs/>
          <w:spacing w:val="-2"/>
          <w:u w:val="single"/>
          <w:lang w:val="es-PE"/>
        </w:rPr>
      </w:pPr>
      <w:r w:rsidRPr="00DD61DA">
        <w:rPr>
          <w:rFonts w:ascii="Verdana" w:hAnsi="Verdana" w:cs="Arial"/>
          <w:iCs/>
          <w:spacing w:val="-2"/>
          <w:u w:val="single"/>
          <w:lang w:val="es-PE"/>
        </w:rPr>
        <w:t>Carta No.</w:t>
      </w:r>
      <w:r w:rsidRPr="00DD61DA" w:rsidR="00250375">
        <w:rPr>
          <w:rFonts w:ascii="Verdana" w:hAnsi="Verdana" w:cs="Arial"/>
          <w:iCs/>
          <w:spacing w:val="-2"/>
          <w:u w:val="single"/>
          <w:lang w:val="es-PE"/>
        </w:rPr>
        <w:t xml:space="preserve"> </w:t>
      </w:r>
      <w:r w:rsidR="002942FE">
        <w:rPr>
          <w:rFonts w:ascii="Verdana" w:hAnsi="Verdana" w:cs="Arial"/>
          <w:iCs/>
          <w:spacing w:val="-2"/>
          <w:u w:val="single"/>
          <w:lang w:val="es-PE"/>
        </w:rPr>
        <w:t>0</w:t>
      </w:r>
      <w:r w:rsidR="004D0784">
        <w:rPr>
          <w:rFonts w:ascii="Verdana" w:hAnsi="Verdana" w:cs="Arial"/>
          <w:iCs/>
          <w:spacing w:val="-2"/>
          <w:u w:val="single"/>
          <w:lang w:val="es-PE"/>
        </w:rPr>
        <w:t>199</w:t>
      </w:r>
      <w:r w:rsidR="002942FE">
        <w:rPr>
          <w:rFonts w:ascii="Verdana" w:hAnsi="Verdana" w:cs="Arial"/>
          <w:iCs/>
          <w:spacing w:val="-2"/>
          <w:u w:val="single"/>
          <w:lang w:val="es-PE"/>
        </w:rPr>
        <w:t>-202</w:t>
      </w:r>
      <w:r w:rsidR="00546567">
        <w:rPr>
          <w:rFonts w:ascii="Verdana" w:hAnsi="Verdana" w:cs="Arial"/>
          <w:iCs/>
          <w:spacing w:val="-2"/>
          <w:u w:val="single"/>
          <w:lang w:val="es-PE"/>
        </w:rPr>
        <w:t>3</w:t>
      </w:r>
      <w:r w:rsidRPr="00DD61DA">
        <w:rPr>
          <w:rFonts w:ascii="Verdana" w:hAnsi="Verdana" w:cs="Arial"/>
          <w:iCs/>
          <w:spacing w:val="-2"/>
          <w:u w:val="single"/>
          <w:lang w:val="es-PE"/>
        </w:rPr>
        <w:t>-APMTC/CL</w:t>
      </w:r>
    </w:p>
    <w:p w:rsidRPr="00195A2E" w:rsidR="00DE46BC" w:rsidP="00514AA7" w:rsidRDefault="00DE46BC" w14:paraId="341C5456" w14:textId="77777777">
      <w:pPr>
        <w:tabs>
          <w:tab w:val="left" w:pos="-142"/>
        </w:tabs>
        <w:suppressAutoHyphens/>
        <w:spacing w:line="276" w:lineRule="auto"/>
        <w:rPr>
          <w:rFonts w:ascii="Verdana" w:hAnsi="Verdana" w:cs="Arial"/>
          <w:iCs/>
          <w:spacing w:val="-2"/>
          <w:highlight w:val="yellow"/>
          <w:lang w:val="es-PE"/>
        </w:rPr>
      </w:pPr>
    </w:p>
    <w:p w:rsidRPr="00195A2E" w:rsidR="00250375" w:rsidP="00514AA7" w:rsidRDefault="00B706D8" w14:paraId="3AAAB16A" w14:textId="2EF199DF">
      <w:pPr>
        <w:tabs>
          <w:tab w:val="left" w:pos="-142"/>
        </w:tabs>
        <w:suppressAutoHyphens/>
        <w:spacing w:line="276" w:lineRule="auto"/>
        <w:rPr>
          <w:rFonts w:ascii="Verdana" w:hAnsi="Verdana" w:cs="Arial"/>
          <w:iCs/>
          <w:spacing w:val="-2"/>
          <w:lang w:val="es-PE"/>
        </w:rPr>
      </w:pPr>
      <w:r w:rsidRPr="00195A2E">
        <w:rPr>
          <w:rFonts w:ascii="Verdana" w:hAnsi="Verdana" w:cs="Arial"/>
          <w:iCs/>
          <w:spacing w:val="-2"/>
          <w:lang w:val="es-PE"/>
        </w:rPr>
        <w:t xml:space="preserve">Callao, </w:t>
      </w:r>
      <w:r w:rsidR="00546567">
        <w:rPr>
          <w:rFonts w:ascii="Verdana" w:hAnsi="Verdana" w:cs="Arial"/>
          <w:iCs/>
          <w:spacing w:val="-2"/>
          <w:lang w:val="es-PE"/>
        </w:rPr>
        <w:t>25 de abril de 2023</w:t>
      </w:r>
    </w:p>
    <w:p w:rsidRPr="00195A2E" w:rsidR="00A418DE" w:rsidP="00514AA7" w:rsidRDefault="00A418DE" w14:paraId="3399D5E7" w14:textId="77777777">
      <w:pPr>
        <w:tabs>
          <w:tab w:val="left" w:pos="-142"/>
        </w:tabs>
        <w:suppressAutoHyphens/>
        <w:spacing w:line="276" w:lineRule="auto"/>
        <w:rPr>
          <w:rFonts w:ascii="Verdana" w:hAnsi="Verdana" w:cs="Arial"/>
          <w:iCs/>
          <w:spacing w:val="-2"/>
          <w:highlight w:val="yellow"/>
          <w:lang w:val="es-PE"/>
        </w:rPr>
      </w:pPr>
    </w:p>
    <w:p w:rsidRPr="00195A2E" w:rsidR="00796191" w:rsidP="00514AA7" w:rsidRDefault="00796191" w14:paraId="3B657170" w14:textId="77777777">
      <w:pPr>
        <w:tabs>
          <w:tab w:val="left" w:pos="-142"/>
        </w:tabs>
        <w:suppressAutoHyphens/>
        <w:spacing w:line="276" w:lineRule="auto"/>
        <w:rPr>
          <w:rFonts w:ascii="Verdana" w:hAnsi="Verdana" w:cs="Arial"/>
          <w:lang w:val="es-MX"/>
        </w:rPr>
      </w:pPr>
      <w:r w:rsidRPr="00195A2E">
        <w:rPr>
          <w:rFonts w:ascii="Verdana" w:hAnsi="Verdana" w:cs="Arial"/>
          <w:lang w:val="es-MX"/>
        </w:rPr>
        <w:t>Señores</w:t>
      </w:r>
    </w:p>
    <w:p w:rsidRPr="00195A2E" w:rsidR="001A64AA" w:rsidP="00514AA7" w:rsidRDefault="001A64AA" w14:paraId="6B4DF60A" w14:textId="74B2C78E">
      <w:pPr>
        <w:pStyle w:val="NoSpacing"/>
        <w:spacing w:line="276" w:lineRule="auto"/>
        <w:ind w:left="-540" w:firstLine="540"/>
        <w:rPr>
          <w:rFonts w:ascii="Verdana" w:hAnsi="Verdana" w:eastAsia="Times New Roman" w:cs="Arial"/>
          <w:b/>
          <w:sz w:val="20"/>
          <w:szCs w:val="20"/>
          <w:lang w:val="es-PE"/>
        </w:rPr>
      </w:pPr>
      <w:r w:rsidRPr="00195A2E">
        <w:rPr>
          <w:rFonts w:ascii="Verdana" w:hAnsi="Verdana" w:eastAsia="Times New Roman" w:cs="Arial"/>
          <w:b/>
          <w:sz w:val="20"/>
          <w:szCs w:val="20"/>
          <w:lang w:val="es-PE"/>
        </w:rPr>
        <w:t>AGENCIAS UNIVERSALES PER</w:t>
      </w:r>
      <w:r w:rsidR="00514AA7">
        <w:rPr>
          <w:rFonts w:ascii="Verdana" w:hAnsi="Verdana" w:eastAsia="Times New Roman" w:cs="Arial"/>
          <w:b/>
          <w:sz w:val="20"/>
          <w:szCs w:val="20"/>
          <w:lang w:val="es-PE"/>
        </w:rPr>
        <w:t>U</w:t>
      </w:r>
      <w:r w:rsidRPr="00195A2E">
        <w:rPr>
          <w:rFonts w:ascii="Verdana" w:hAnsi="Verdana" w:eastAsia="Times New Roman" w:cs="Arial"/>
          <w:b/>
          <w:sz w:val="20"/>
          <w:szCs w:val="20"/>
          <w:lang w:val="es-PE"/>
        </w:rPr>
        <w:t xml:space="preserve"> S.A.</w:t>
      </w:r>
    </w:p>
    <w:p w:rsidRPr="00195A2E" w:rsidR="007175D5" w:rsidP="00514AA7" w:rsidRDefault="007175D5" w14:paraId="01310E11" w14:textId="63560A59">
      <w:pPr>
        <w:pStyle w:val="NoSpacing"/>
        <w:spacing w:line="276" w:lineRule="auto"/>
        <w:ind w:left="-540" w:right="-282" w:firstLine="540"/>
        <w:rPr>
          <w:rFonts w:ascii="Verdana" w:hAnsi="Verdana" w:eastAsia="Times New Roman" w:cs="Arial"/>
          <w:sz w:val="20"/>
          <w:szCs w:val="20"/>
          <w:lang w:val="es-PE"/>
        </w:rPr>
      </w:pPr>
      <w:r w:rsidRPr="00195A2E">
        <w:rPr>
          <w:rFonts w:ascii="Verdana" w:hAnsi="Verdana" w:eastAsia="Times New Roman" w:cs="Arial"/>
          <w:sz w:val="20"/>
          <w:szCs w:val="20"/>
          <w:lang w:val="es-PE"/>
        </w:rPr>
        <w:t xml:space="preserve">Av. </w:t>
      </w:r>
      <w:r w:rsidRPr="00195A2E" w:rsidR="00514AA7">
        <w:rPr>
          <w:rFonts w:ascii="Verdana" w:hAnsi="Verdana" w:eastAsia="Times New Roman" w:cs="Arial"/>
          <w:sz w:val="20"/>
          <w:szCs w:val="20"/>
          <w:lang w:val="es-PE"/>
        </w:rPr>
        <w:t>Néstor</w:t>
      </w:r>
      <w:r w:rsidRPr="00195A2E" w:rsidR="002E5E5E">
        <w:rPr>
          <w:rFonts w:ascii="Verdana" w:hAnsi="Verdana" w:eastAsia="Times New Roman" w:cs="Arial"/>
          <w:sz w:val="20"/>
          <w:szCs w:val="20"/>
          <w:lang w:val="es-PE"/>
        </w:rPr>
        <w:t xml:space="preserve"> Gambetta No. 5502</w:t>
      </w:r>
    </w:p>
    <w:p w:rsidRPr="00130D1D" w:rsidR="00073E54" w:rsidP="00514AA7" w:rsidRDefault="002E5E5E" w14:paraId="35D13F96" w14:textId="4422D7C7">
      <w:pPr>
        <w:pStyle w:val="NoSpacing"/>
        <w:spacing w:line="276" w:lineRule="auto"/>
        <w:ind w:left="-540" w:firstLine="540"/>
        <w:rPr>
          <w:rFonts w:ascii="Verdana" w:hAnsi="Verdana" w:cs="Arial"/>
          <w:b/>
          <w:iCs/>
          <w:spacing w:val="-2"/>
          <w:lang w:val="es-PE"/>
        </w:rPr>
      </w:pPr>
      <w:r w:rsidRPr="00195A2E">
        <w:rPr>
          <w:rFonts w:ascii="Verdana" w:hAnsi="Verdana" w:eastAsia="Times New Roman" w:cs="Arial"/>
          <w:sz w:val="20"/>
          <w:szCs w:val="20"/>
          <w:u w:val="single"/>
          <w:lang w:val="es-ES_tradnl"/>
        </w:rPr>
        <w:t>Callao</w:t>
      </w:r>
      <w:r w:rsidRPr="00195A2E" w:rsidR="007175D5">
        <w:rPr>
          <w:rFonts w:ascii="Verdana" w:hAnsi="Verdana" w:eastAsia="Times New Roman" w:cs="Arial"/>
          <w:sz w:val="20"/>
          <w:szCs w:val="20"/>
          <w:lang w:val="es-ES_tradnl"/>
        </w:rPr>
        <w:t>. -</w:t>
      </w:r>
    </w:p>
    <w:p w:rsidR="00DE46BC" w:rsidP="00514AA7" w:rsidRDefault="00DE46BC" w14:paraId="6B3F8355" w14:textId="1DA6145B">
      <w:pPr>
        <w:tabs>
          <w:tab w:val="left" w:pos="-142"/>
        </w:tabs>
        <w:suppressAutoHyphens/>
        <w:spacing w:line="276" w:lineRule="auto"/>
        <w:rPr>
          <w:rFonts w:ascii="Verdana" w:hAnsi="Verdana" w:cs="Arial"/>
          <w:b/>
          <w:iCs/>
          <w:spacing w:val="-2"/>
        </w:rPr>
      </w:pPr>
    </w:p>
    <w:p w:rsidRPr="00195A2E" w:rsidR="00E46F5D" w:rsidP="00514AA7" w:rsidRDefault="00E46F5D" w14:paraId="07679644" w14:textId="77777777">
      <w:pPr>
        <w:tabs>
          <w:tab w:val="left" w:pos="-142"/>
        </w:tabs>
        <w:suppressAutoHyphens/>
        <w:spacing w:line="276" w:lineRule="auto"/>
        <w:rPr>
          <w:rFonts w:ascii="Verdana" w:hAnsi="Verdana" w:cs="Arial"/>
          <w:b/>
          <w:iCs/>
          <w:spacing w:val="-2"/>
        </w:rPr>
      </w:pPr>
    </w:p>
    <w:p w:rsidRPr="00195A2E" w:rsidR="00796191" w:rsidP="00514AA7" w:rsidRDefault="00796191" w14:paraId="087DC207" w14:textId="76D7F263">
      <w:pPr>
        <w:tabs>
          <w:tab w:val="left" w:pos="-142"/>
        </w:tabs>
        <w:suppressAutoHyphens/>
        <w:spacing w:line="276" w:lineRule="auto"/>
        <w:rPr>
          <w:rFonts w:ascii="Verdana" w:hAnsi="Verdana" w:cs="Arial"/>
          <w:iCs/>
          <w:spacing w:val="-2"/>
          <w:lang w:val="es-PE"/>
        </w:rPr>
      </w:pPr>
      <w:r w:rsidRPr="00195A2E">
        <w:rPr>
          <w:rFonts w:ascii="Verdana" w:hAnsi="Verdana" w:cs="Arial"/>
          <w:b/>
          <w:iCs/>
          <w:spacing w:val="-2"/>
        </w:rPr>
        <w:tab/>
      </w:r>
      <w:r w:rsidRPr="00195A2E">
        <w:rPr>
          <w:rFonts w:ascii="Verdana" w:hAnsi="Verdana" w:cs="Arial"/>
          <w:b/>
          <w:iCs/>
          <w:spacing w:val="-2"/>
        </w:rPr>
        <w:tab/>
      </w:r>
      <w:r w:rsidR="00514AA7">
        <w:rPr>
          <w:rFonts w:ascii="Verdana" w:hAnsi="Verdana" w:cs="Arial"/>
          <w:b/>
          <w:iCs/>
          <w:spacing w:val="-2"/>
        </w:rPr>
        <w:tab/>
      </w:r>
      <w:r w:rsidRPr="00195A2E">
        <w:rPr>
          <w:rFonts w:ascii="Verdana" w:hAnsi="Verdana" w:cs="Arial"/>
          <w:b/>
          <w:iCs/>
          <w:spacing w:val="-2"/>
        </w:rPr>
        <w:t>Atención:</w:t>
      </w:r>
      <w:r w:rsidRPr="00195A2E">
        <w:rPr>
          <w:rFonts w:ascii="Verdana" w:hAnsi="Verdana" w:cs="Arial"/>
          <w:b/>
          <w:iCs/>
          <w:spacing w:val="-2"/>
        </w:rPr>
        <w:tab/>
      </w:r>
      <w:r w:rsidRPr="00195A2E" w:rsidR="002E5E5E">
        <w:rPr>
          <w:rFonts w:ascii="Verdana" w:hAnsi="Verdana" w:cs="Arial"/>
          <w:iCs/>
          <w:spacing w:val="-2"/>
        </w:rPr>
        <w:t>Mauricio Campos Campos</w:t>
      </w:r>
    </w:p>
    <w:p w:rsidRPr="00195A2E" w:rsidR="00796191" w:rsidP="00514AA7" w:rsidRDefault="00796191" w14:paraId="5B894A34" w14:textId="557ABC0C">
      <w:pPr>
        <w:tabs>
          <w:tab w:val="left" w:pos="-142"/>
          <w:tab w:val="left" w:pos="360"/>
        </w:tabs>
        <w:suppressAutoHyphens/>
        <w:spacing w:line="276" w:lineRule="auto"/>
        <w:ind w:left="1440" w:right="-329"/>
        <w:jc w:val="both"/>
        <w:rPr>
          <w:rFonts w:ascii="Verdana" w:hAnsi="Verdana" w:cs="Arial"/>
          <w:iCs/>
          <w:spacing w:val="-2"/>
        </w:rPr>
      </w:pPr>
      <w:r w:rsidRPr="00195A2E">
        <w:rPr>
          <w:rFonts w:ascii="Verdana" w:hAnsi="Verdana" w:cs="Arial"/>
          <w:iCs/>
          <w:spacing w:val="-2"/>
        </w:rPr>
        <w:tab/>
      </w:r>
      <w:r w:rsidR="00514AA7">
        <w:rPr>
          <w:rFonts w:ascii="Verdana" w:hAnsi="Verdana" w:cs="Arial"/>
          <w:iCs/>
          <w:spacing w:val="-2"/>
        </w:rPr>
        <w:tab/>
      </w:r>
      <w:r w:rsidRPr="00195A2E">
        <w:rPr>
          <w:rFonts w:ascii="Verdana" w:hAnsi="Verdana" w:cs="Arial"/>
          <w:iCs/>
          <w:spacing w:val="-2"/>
        </w:rPr>
        <w:tab/>
      </w:r>
      <w:r w:rsidRPr="00195A2E" w:rsidR="002E5E5E">
        <w:rPr>
          <w:rFonts w:ascii="Verdana" w:hAnsi="Verdana" w:cs="Arial"/>
          <w:iCs/>
          <w:spacing w:val="-2"/>
        </w:rPr>
        <w:t>Representante Legal</w:t>
      </w:r>
    </w:p>
    <w:p w:rsidRPr="00195A2E" w:rsidR="00796191" w:rsidP="00514AA7" w:rsidRDefault="00514AA7" w14:paraId="3CF0878E" w14:textId="1506DE18">
      <w:pPr>
        <w:tabs>
          <w:tab w:val="left" w:pos="-142"/>
          <w:tab w:val="left" w:pos="360"/>
        </w:tabs>
        <w:suppressAutoHyphens/>
        <w:spacing w:line="276" w:lineRule="auto"/>
        <w:ind w:right="-329"/>
        <w:jc w:val="both"/>
        <w:rPr>
          <w:rFonts w:ascii="Verdana" w:hAnsi="Verdana" w:cs="Arial"/>
          <w:b/>
          <w:iCs/>
          <w:spacing w:val="-2"/>
        </w:rPr>
      </w:pPr>
      <w:r>
        <w:rPr>
          <w:rFonts w:ascii="Verdana" w:hAnsi="Verdana" w:cs="Arial"/>
          <w:b/>
          <w:iCs/>
          <w:spacing w:val="-2"/>
        </w:rPr>
        <w:tab/>
      </w:r>
      <w:r w:rsidRPr="00195A2E" w:rsidR="00796191">
        <w:rPr>
          <w:rFonts w:ascii="Verdana" w:hAnsi="Verdana" w:cs="Arial"/>
          <w:b/>
          <w:iCs/>
          <w:spacing w:val="-2"/>
        </w:rPr>
        <w:tab/>
      </w:r>
      <w:r w:rsidRPr="00195A2E" w:rsidR="00796191">
        <w:rPr>
          <w:rFonts w:ascii="Verdana" w:hAnsi="Verdana" w:cs="Arial"/>
          <w:b/>
          <w:iCs/>
          <w:spacing w:val="-2"/>
        </w:rPr>
        <w:tab/>
      </w:r>
      <w:r w:rsidRPr="00195A2E" w:rsidR="00796191">
        <w:rPr>
          <w:rFonts w:ascii="Verdana" w:hAnsi="Verdana" w:cs="Arial"/>
          <w:b/>
          <w:iCs/>
          <w:spacing w:val="-2"/>
        </w:rPr>
        <w:tab/>
      </w:r>
      <w:r w:rsidRPr="00195A2E" w:rsidR="00FF7726">
        <w:rPr>
          <w:rFonts w:ascii="Verdana" w:hAnsi="Verdana" w:cs="Arial"/>
          <w:b/>
          <w:iCs/>
          <w:spacing w:val="-2"/>
        </w:rPr>
        <w:t>Expediente:</w:t>
      </w:r>
      <w:r w:rsidRPr="00195A2E" w:rsidR="00FF7726">
        <w:rPr>
          <w:rFonts w:ascii="Verdana" w:hAnsi="Verdana" w:cs="Arial"/>
          <w:b/>
          <w:iCs/>
          <w:spacing w:val="-2"/>
        </w:rPr>
        <w:tab/>
      </w:r>
      <w:r w:rsidRPr="00195A2E" w:rsidR="00FF7726">
        <w:rPr>
          <w:rFonts w:ascii="Verdana" w:hAnsi="Verdana" w:cs="Arial"/>
          <w:b/>
          <w:iCs/>
          <w:spacing w:val="-2"/>
        </w:rPr>
        <w:t>APMTC/CL/</w:t>
      </w:r>
      <w:r w:rsidRPr="00195A2E" w:rsidR="00037532">
        <w:rPr>
          <w:rFonts w:ascii="Verdana" w:hAnsi="Verdana" w:cs="Arial"/>
          <w:b/>
          <w:iCs/>
          <w:spacing w:val="-2"/>
        </w:rPr>
        <w:t>0</w:t>
      </w:r>
      <w:r w:rsidR="00546567">
        <w:rPr>
          <w:rFonts w:ascii="Verdana" w:hAnsi="Verdana" w:cs="Arial"/>
          <w:b/>
          <w:iCs/>
          <w:spacing w:val="-2"/>
        </w:rPr>
        <w:t>054-2023</w:t>
      </w:r>
    </w:p>
    <w:p w:rsidR="00796191" w:rsidP="00514AA7" w:rsidRDefault="00514AA7" w14:paraId="728D242E" w14:textId="032E3983">
      <w:pPr>
        <w:tabs>
          <w:tab w:val="left" w:pos="-142"/>
          <w:tab w:val="left" w:pos="360"/>
        </w:tabs>
        <w:suppressAutoHyphens/>
        <w:spacing w:line="276" w:lineRule="auto"/>
        <w:ind w:left="1440" w:right="-3"/>
        <w:jc w:val="both"/>
        <w:rPr>
          <w:rFonts w:ascii="Verdana" w:hAnsi="Verdana" w:cs="Arial"/>
          <w:iCs/>
          <w:spacing w:val="-2"/>
        </w:rPr>
      </w:pPr>
      <w:r>
        <w:rPr>
          <w:rFonts w:ascii="Verdana" w:hAnsi="Verdana" w:cs="Arial"/>
          <w:b/>
          <w:iCs/>
          <w:spacing w:val="-2"/>
        </w:rPr>
        <w:tab/>
      </w:r>
      <w:r w:rsidRPr="00195A2E" w:rsidR="00796191">
        <w:rPr>
          <w:rFonts w:ascii="Verdana" w:hAnsi="Verdana" w:cs="Arial"/>
          <w:b/>
          <w:iCs/>
          <w:spacing w:val="-2"/>
        </w:rPr>
        <w:t>Asunto:</w:t>
      </w:r>
      <w:r w:rsidRPr="00195A2E" w:rsidR="00796191">
        <w:rPr>
          <w:rFonts w:ascii="Verdana" w:hAnsi="Verdana" w:cs="Arial"/>
          <w:b/>
          <w:iCs/>
          <w:spacing w:val="-2"/>
        </w:rPr>
        <w:tab/>
      </w:r>
      <w:r w:rsidRPr="00195A2E" w:rsidR="00B0719E">
        <w:rPr>
          <w:rFonts w:ascii="Verdana" w:hAnsi="Verdana" w:cs="Arial"/>
          <w:iCs/>
          <w:spacing w:val="-2"/>
        </w:rPr>
        <w:t>Se expide Resolución No. 01</w:t>
      </w:r>
    </w:p>
    <w:p w:rsidRPr="00195A2E" w:rsidR="00E46F5D" w:rsidP="00514AA7" w:rsidRDefault="00514AA7" w14:paraId="0ECD73AD" w14:textId="13B23625">
      <w:pPr>
        <w:tabs>
          <w:tab w:val="left" w:pos="-142"/>
          <w:tab w:val="left" w:pos="360"/>
        </w:tabs>
        <w:suppressAutoHyphens/>
        <w:spacing w:line="276" w:lineRule="auto"/>
        <w:ind w:left="2835" w:right="-3" w:hanging="2925"/>
        <w:jc w:val="both"/>
        <w:rPr>
          <w:rFonts w:ascii="Verdana" w:hAnsi="Verdana" w:cs="Arial"/>
          <w:iCs/>
          <w:spacing w:val="-2"/>
        </w:rPr>
      </w:pPr>
      <w:r>
        <w:rPr>
          <w:rFonts w:ascii="Verdana" w:hAnsi="Verdana" w:cs="Arial"/>
          <w:b/>
          <w:iCs/>
          <w:spacing w:val="-2"/>
        </w:rPr>
        <w:t xml:space="preserve">                                  </w:t>
      </w:r>
      <w:r w:rsidRPr="00B8648F">
        <w:rPr>
          <w:rFonts w:ascii="Verdana" w:hAnsi="Verdana" w:cs="Arial"/>
          <w:b/>
          <w:iCs/>
          <w:spacing w:val="-2"/>
        </w:rPr>
        <w:t>Materia:</w:t>
      </w:r>
      <w:r w:rsidRPr="00B8648F">
        <w:rPr>
          <w:rFonts w:ascii="Verdana" w:hAnsi="Verdana" w:cs="Arial"/>
          <w:iCs/>
          <w:spacing w:val="-2"/>
        </w:rPr>
        <w:tab/>
      </w:r>
      <w:r w:rsidRPr="00B8648F">
        <w:rPr>
          <w:rFonts w:ascii="Verdana" w:hAnsi="Verdana" w:cs="Arial"/>
          <w:iCs/>
          <w:spacing w:val="-2"/>
        </w:rPr>
        <w:t xml:space="preserve">Reclamo por </w:t>
      </w:r>
      <w:r>
        <w:rPr>
          <w:rFonts w:ascii="Verdana" w:hAnsi="Verdana" w:cs="Arial"/>
          <w:iCs/>
          <w:spacing w:val="-2"/>
        </w:rPr>
        <w:t>presuntos daños a la carga</w:t>
      </w:r>
      <w:r w:rsidR="00546567">
        <w:rPr>
          <w:rFonts w:ascii="Verdana" w:hAnsi="Verdana" w:cs="Arial"/>
          <w:iCs/>
          <w:spacing w:val="-2"/>
        </w:rPr>
        <w:t xml:space="preserve"> y la nave</w:t>
      </w:r>
      <w:r>
        <w:rPr>
          <w:rFonts w:ascii="Verdana" w:hAnsi="Verdana" w:cs="Arial"/>
          <w:iCs/>
          <w:spacing w:val="-2"/>
        </w:rPr>
        <w:t xml:space="preserve">. </w:t>
      </w:r>
    </w:p>
    <w:p w:rsidRPr="00195A2E" w:rsidR="00DE46BC" w:rsidP="00514AA7" w:rsidRDefault="00DE46BC" w14:paraId="4D99ABEF" w14:textId="77777777">
      <w:pPr>
        <w:tabs>
          <w:tab w:val="left" w:pos="-142"/>
        </w:tabs>
        <w:suppressAutoHyphens/>
        <w:spacing w:line="276" w:lineRule="auto"/>
        <w:ind w:right="-329"/>
        <w:rPr>
          <w:rFonts w:ascii="Verdana" w:hAnsi="Verdana" w:cs="Arial"/>
          <w:iCs/>
          <w:spacing w:val="-2"/>
          <w:highlight w:val="yellow"/>
        </w:rPr>
      </w:pPr>
    </w:p>
    <w:p w:rsidRPr="00195A2E" w:rsidR="00B706D8" w:rsidP="00514AA7" w:rsidRDefault="00B706D8" w14:paraId="5C76DED6" w14:textId="5707C5D7">
      <w:pPr>
        <w:pStyle w:val="NoSpacing"/>
        <w:spacing w:line="276" w:lineRule="auto"/>
        <w:jc w:val="both"/>
        <w:rPr>
          <w:rFonts w:ascii="Verdana" w:hAnsi="Verdana" w:cs="Arial"/>
          <w:iCs/>
          <w:spacing w:val="-2"/>
          <w:sz w:val="20"/>
          <w:szCs w:val="20"/>
          <w:lang w:val="es-PE"/>
        </w:rPr>
      </w:pPr>
      <w:r w:rsidRPr="00195A2E">
        <w:rPr>
          <w:rFonts w:ascii="Verdana" w:hAnsi="Verdana" w:cs="Arial"/>
          <w:b/>
          <w:iCs/>
          <w:spacing w:val="-2"/>
          <w:sz w:val="20"/>
          <w:szCs w:val="20"/>
          <w:lang w:val="es-PE"/>
        </w:rPr>
        <w:t xml:space="preserve">APM TERMINALS CALLAO S.A </w:t>
      </w:r>
      <w:r w:rsidRPr="00195A2E">
        <w:rPr>
          <w:rFonts w:ascii="Verdana" w:hAnsi="Verdana" w:cs="Arial"/>
          <w:iCs/>
          <w:spacing w:val="-2"/>
          <w:sz w:val="20"/>
          <w:szCs w:val="20"/>
          <w:lang w:val="es-PE"/>
        </w:rPr>
        <w:t>(“APMTC”)</w:t>
      </w:r>
      <w:r w:rsidRPr="00195A2E">
        <w:rPr>
          <w:rFonts w:ascii="Verdana" w:hAnsi="Verdana" w:cs="Arial"/>
          <w:iCs/>
          <w:spacing w:val="-2"/>
          <w:sz w:val="20"/>
          <w:szCs w:val="20"/>
          <w:lang w:val="es-ES"/>
        </w:rPr>
        <w:t xml:space="preserve"> identificada con R.U.C. No. 20543083888, con domicilio en Av. Contralmirante Raygada No. 111, Distrito del Callao, en virtud a </w:t>
      </w:r>
      <w:r w:rsidRPr="00195A2E" w:rsidR="007175D5">
        <w:rPr>
          <w:rFonts w:ascii="Verdana" w:hAnsi="Verdana" w:cs="Arial"/>
          <w:iCs/>
          <w:spacing w:val="-2"/>
          <w:sz w:val="20"/>
          <w:szCs w:val="20"/>
          <w:lang w:val="es-ES"/>
        </w:rPr>
        <w:t xml:space="preserve">que </w:t>
      </w:r>
      <w:r w:rsidRPr="00195A2E" w:rsidR="002E5E5E">
        <w:rPr>
          <w:rFonts w:ascii="Verdana" w:hAnsi="Verdana" w:eastAsia="Times New Roman" w:cs="Arial"/>
          <w:b/>
          <w:sz w:val="20"/>
          <w:szCs w:val="20"/>
          <w:lang w:val="es-PE"/>
        </w:rPr>
        <w:t>AGENCIAS UNIVERSALES PERU S.A.</w:t>
      </w:r>
      <w:r w:rsidRPr="00195A2E" w:rsidR="002E5E5E">
        <w:rPr>
          <w:rFonts w:ascii="Verdana" w:hAnsi="Verdana" w:cs="Arial"/>
          <w:iCs/>
          <w:spacing w:val="-2"/>
          <w:sz w:val="20"/>
          <w:szCs w:val="20"/>
          <w:lang w:val="es-PE"/>
        </w:rPr>
        <w:t xml:space="preserve"> </w:t>
      </w:r>
      <w:r w:rsidRPr="00195A2E">
        <w:rPr>
          <w:rFonts w:ascii="Verdana" w:hAnsi="Verdana" w:cs="Arial"/>
          <w:iCs/>
          <w:spacing w:val="-2"/>
          <w:sz w:val="20"/>
          <w:szCs w:val="20"/>
          <w:lang w:val="es-PE"/>
        </w:rPr>
        <w:t>(“</w:t>
      </w:r>
      <w:r w:rsidRPr="00195A2E" w:rsidR="002E5E5E">
        <w:rPr>
          <w:rFonts w:ascii="Verdana" w:hAnsi="Verdana" w:cs="Arial"/>
          <w:iCs/>
          <w:spacing w:val="-2"/>
          <w:sz w:val="20"/>
          <w:szCs w:val="20"/>
          <w:lang w:val="es-PE"/>
        </w:rPr>
        <w:t>AGUNSA</w:t>
      </w:r>
      <w:r w:rsidRPr="00195A2E">
        <w:rPr>
          <w:rFonts w:ascii="Verdana" w:hAnsi="Verdana" w:cs="Arial"/>
          <w:iCs/>
          <w:spacing w:val="-2"/>
          <w:sz w:val="20"/>
          <w:szCs w:val="20"/>
          <w:lang w:val="es-PE"/>
        </w:rPr>
        <w:t xml:space="preserve">” o la “Reclamante”) ha cumplido con presentar el reclamo dentro del plazo establecido en el artículo 2.3 del Reglamento de Atención y Solución de Reclamos de Usuarios de APMTC y con los requisitos establecidos en el artículo 2.4 del referido Reglamento, exponemos lo siguiente: </w:t>
      </w:r>
    </w:p>
    <w:p w:rsidRPr="00195A2E" w:rsidR="00B706D8" w:rsidP="00514AA7" w:rsidRDefault="00B706D8" w14:paraId="258A9088" w14:textId="518169DC">
      <w:pPr>
        <w:spacing w:line="276" w:lineRule="auto"/>
        <w:jc w:val="both"/>
        <w:rPr>
          <w:rFonts w:ascii="Verdana" w:hAnsi="Verdana" w:cs="Arial"/>
          <w:lang w:val="es-MX"/>
        </w:rPr>
      </w:pPr>
    </w:p>
    <w:p w:rsidRPr="00D721B3" w:rsidR="00B706D8" w:rsidP="00514AA7" w:rsidRDefault="00B706D8" w14:paraId="1845813F" w14:textId="7DB5FE8B">
      <w:pPr>
        <w:widowControl/>
        <w:numPr>
          <w:ilvl w:val="0"/>
          <w:numId w:val="1"/>
        </w:numPr>
        <w:spacing w:line="276" w:lineRule="auto"/>
        <w:ind w:left="567" w:hanging="567"/>
        <w:jc w:val="both"/>
        <w:rPr>
          <w:rFonts w:ascii="Verdana" w:hAnsi="Verdana" w:cs="Arial"/>
          <w:b/>
          <w:lang w:val="es-MX"/>
        </w:rPr>
      </w:pPr>
      <w:r w:rsidRPr="00D721B3">
        <w:rPr>
          <w:rFonts w:ascii="Verdana" w:hAnsi="Verdana" w:cs="Arial"/>
          <w:b/>
          <w:lang w:val="es-MX"/>
        </w:rPr>
        <w:t>ANTECEDENTES</w:t>
      </w:r>
    </w:p>
    <w:p w:rsidRPr="00D721B3" w:rsidR="0083686D" w:rsidP="00514AA7" w:rsidRDefault="0083686D" w14:paraId="1003A354" w14:textId="77777777">
      <w:pPr>
        <w:widowControl/>
        <w:tabs>
          <w:tab w:val="left" w:pos="360"/>
        </w:tabs>
        <w:spacing w:line="276" w:lineRule="auto"/>
        <w:jc w:val="both"/>
        <w:rPr>
          <w:rFonts w:ascii="Verdana" w:hAnsi="Verdana" w:cs="Arial"/>
          <w:lang w:val="es-MX"/>
        </w:rPr>
      </w:pPr>
    </w:p>
    <w:p w:rsidRPr="00D721B3" w:rsidR="00037532" w:rsidP="00514AA7" w:rsidRDefault="00037532" w14:paraId="0C2ED2EE" w14:textId="7205E4FD">
      <w:pPr>
        <w:pStyle w:val="ListParagraph"/>
        <w:numPr>
          <w:ilvl w:val="1"/>
          <w:numId w:val="11"/>
        </w:numPr>
        <w:tabs>
          <w:tab w:val="left" w:pos="6972"/>
        </w:tabs>
        <w:suppressAutoHyphens/>
        <w:spacing w:line="276" w:lineRule="auto"/>
        <w:ind w:left="567" w:hanging="567"/>
        <w:jc w:val="both"/>
        <w:rPr>
          <w:rFonts w:ascii="Verdana" w:hAnsi="Verdana"/>
          <w:lang w:val="es-PE"/>
        </w:rPr>
      </w:pPr>
      <w:r w:rsidRPr="00D721B3">
        <w:rPr>
          <w:rFonts w:ascii="Verdana" w:hAnsi="Verdana"/>
          <w:lang w:val="es-PE"/>
        </w:rPr>
        <w:t xml:space="preserve">Con fecha </w:t>
      </w:r>
      <w:r w:rsidR="00546567">
        <w:rPr>
          <w:rFonts w:ascii="Verdana" w:hAnsi="Verdana"/>
          <w:lang w:val="es-PE"/>
        </w:rPr>
        <w:t>19.12.2022</w:t>
      </w:r>
      <w:r w:rsidRPr="00D721B3">
        <w:rPr>
          <w:rFonts w:ascii="Verdana" w:hAnsi="Verdana"/>
          <w:lang w:val="es-PE"/>
        </w:rPr>
        <w:t xml:space="preserve">, la nave </w:t>
      </w:r>
      <w:r w:rsidR="00546567">
        <w:rPr>
          <w:rFonts w:ascii="Verdana" w:hAnsi="Verdana" w:cs="Arial"/>
          <w:iCs/>
          <w:spacing w:val="-2"/>
          <w:lang w:val="es-PE"/>
        </w:rPr>
        <w:t>VKING DRIVE</w:t>
      </w:r>
      <w:r w:rsidR="00DF387E">
        <w:rPr>
          <w:rFonts w:ascii="Verdana" w:hAnsi="Verdana" w:cs="Arial"/>
          <w:iCs/>
          <w:spacing w:val="-2"/>
          <w:lang w:val="es-PE"/>
        </w:rPr>
        <w:t xml:space="preserve"> de viaje V. </w:t>
      </w:r>
      <w:r w:rsidR="00546567">
        <w:rPr>
          <w:rFonts w:ascii="Verdana" w:hAnsi="Verdana" w:cs="Arial"/>
          <w:iCs/>
          <w:spacing w:val="-2"/>
          <w:lang w:val="es-PE"/>
        </w:rPr>
        <w:t>0012 EB</w:t>
      </w:r>
      <w:r w:rsidRPr="00D721B3">
        <w:rPr>
          <w:rFonts w:ascii="Verdana" w:hAnsi="Verdana"/>
          <w:lang w:val="es-PE"/>
        </w:rPr>
        <w:t>, atracó en el Terminal Norte Multipropósito (“TNM”) para realizar la descarga</w:t>
      </w:r>
      <w:r w:rsidRPr="00D721B3" w:rsidR="001B5E0B">
        <w:rPr>
          <w:rFonts w:ascii="Verdana" w:hAnsi="Verdana"/>
          <w:lang w:val="es-PE"/>
        </w:rPr>
        <w:t xml:space="preserve"> y embarque</w:t>
      </w:r>
      <w:r w:rsidRPr="00D721B3">
        <w:rPr>
          <w:rFonts w:ascii="Verdana" w:hAnsi="Verdana"/>
          <w:lang w:val="es-PE"/>
        </w:rPr>
        <w:t xml:space="preserve"> de carga rodante</w:t>
      </w:r>
      <w:r w:rsidR="00DF387E">
        <w:rPr>
          <w:rFonts w:ascii="Verdana" w:hAnsi="Verdana"/>
          <w:lang w:val="es-PE"/>
        </w:rPr>
        <w:t>.</w:t>
      </w:r>
    </w:p>
    <w:p w:rsidRPr="00D721B3" w:rsidR="00037532" w:rsidP="00514AA7" w:rsidRDefault="00037532" w14:paraId="7B5EAB9B" w14:textId="77777777">
      <w:pPr>
        <w:pStyle w:val="ListParagraph"/>
        <w:tabs>
          <w:tab w:val="left" w:pos="6972"/>
        </w:tabs>
        <w:suppressAutoHyphens/>
        <w:spacing w:line="276" w:lineRule="auto"/>
        <w:ind w:left="567"/>
        <w:jc w:val="both"/>
        <w:rPr>
          <w:rFonts w:ascii="Verdana" w:hAnsi="Verdana"/>
          <w:lang w:val="es-PE"/>
        </w:rPr>
      </w:pPr>
    </w:p>
    <w:p w:rsidRPr="005014A1" w:rsidR="005014A1" w:rsidP="005014A1" w:rsidRDefault="00037532" w14:paraId="5871B1B2" w14:textId="55757D5E">
      <w:pPr>
        <w:pStyle w:val="ListParagraph"/>
        <w:numPr>
          <w:ilvl w:val="1"/>
          <w:numId w:val="11"/>
        </w:numPr>
        <w:tabs>
          <w:tab w:val="left" w:pos="6972"/>
        </w:tabs>
        <w:suppressAutoHyphens/>
        <w:spacing w:line="276" w:lineRule="auto"/>
        <w:ind w:left="567" w:hanging="567"/>
        <w:jc w:val="both"/>
        <w:rPr>
          <w:rFonts w:ascii="Verdana" w:hAnsi="Verdana"/>
          <w:lang w:val="es-PE"/>
        </w:rPr>
      </w:pPr>
      <w:r w:rsidRPr="00546567">
        <w:rPr>
          <w:rFonts w:ascii="Verdana" w:hAnsi="Verdana" w:cs="Arial"/>
          <w:iCs/>
          <w:spacing w:val="-2"/>
          <w:lang w:val="es-PE"/>
        </w:rPr>
        <w:t xml:space="preserve">Con fecha </w:t>
      </w:r>
      <w:r w:rsidRPr="00546567" w:rsidR="00546567">
        <w:rPr>
          <w:rFonts w:ascii="Verdana" w:hAnsi="Verdana" w:cs="Arial"/>
          <w:iCs/>
          <w:spacing w:val="-2"/>
          <w:lang w:val="es-PE"/>
        </w:rPr>
        <w:t>10.03.2023</w:t>
      </w:r>
      <w:r w:rsidRPr="00546567">
        <w:rPr>
          <w:rFonts w:ascii="Verdana" w:hAnsi="Verdana" w:cs="Arial"/>
          <w:iCs/>
          <w:spacing w:val="-2"/>
          <w:lang w:val="es-PE"/>
        </w:rPr>
        <w:t xml:space="preserve">, </w:t>
      </w:r>
      <w:r w:rsidRPr="00546567" w:rsidR="00546567">
        <w:rPr>
          <w:rFonts w:ascii="Verdana" w:hAnsi="Verdana" w:cs="Arial"/>
          <w:iCs/>
          <w:spacing w:val="-2"/>
          <w:lang w:val="es-PE"/>
        </w:rPr>
        <w:t>AGUNSA</w:t>
      </w:r>
      <w:r w:rsidRPr="00546567">
        <w:rPr>
          <w:rFonts w:ascii="Verdana" w:hAnsi="Verdana" w:cs="Arial"/>
          <w:iCs/>
          <w:spacing w:val="-2"/>
          <w:lang w:val="es-PE"/>
        </w:rPr>
        <w:t xml:space="preserve"> </w:t>
      </w:r>
      <w:r w:rsidRPr="00546567" w:rsidR="001B5E0B">
        <w:rPr>
          <w:rFonts w:ascii="Verdana" w:hAnsi="Verdana" w:cs="Arial"/>
          <w:iCs/>
          <w:spacing w:val="-2"/>
          <w:lang w:val="es-PE"/>
        </w:rPr>
        <w:t>interpuso un reclamo por</w:t>
      </w:r>
      <w:r w:rsidRPr="00546567" w:rsidR="00DF387E">
        <w:rPr>
          <w:rFonts w:ascii="Verdana" w:hAnsi="Verdana" w:cs="Arial"/>
          <w:iCs/>
          <w:spacing w:val="-2"/>
          <w:lang w:val="es-PE"/>
        </w:rPr>
        <w:t xml:space="preserve"> el </w:t>
      </w:r>
      <w:bookmarkStart w:name="_Hlk120601812" w:id="0"/>
      <w:r w:rsidRPr="00546567" w:rsidR="00DF387E">
        <w:rPr>
          <w:rFonts w:ascii="Verdana" w:hAnsi="Verdana" w:cs="Arial"/>
          <w:iCs/>
          <w:spacing w:val="-2"/>
          <w:lang w:val="es-PE"/>
        </w:rPr>
        <w:t xml:space="preserve">supuesto </w:t>
      </w:r>
      <w:r w:rsidRPr="00546567" w:rsidR="00546567">
        <w:rPr>
          <w:rFonts w:ascii="Verdana" w:hAnsi="Verdana" w:cs="Arial"/>
          <w:iCs/>
          <w:spacing w:val="-2"/>
          <w:lang w:val="es-PE"/>
        </w:rPr>
        <w:t xml:space="preserve">daño a la cuchara de la </w:t>
      </w:r>
      <w:r w:rsidRPr="00546567" w:rsidR="00DF387E">
        <w:rPr>
          <w:rFonts w:ascii="Verdana" w:hAnsi="Verdana" w:cs="Arial"/>
          <w:iCs/>
          <w:spacing w:val="-2"/>
          <w:lang w:val="es-PE"/>
        </w:rPr>
        <w:t xml:space="preserve">unidad de marca CATERPILLAR con número de serie </w:t>
      </w:r>
      <w:r w:rsidRPr="00546567" w:rsidR="00546567">
        <w:rPr>
          <w:rFonts w:ascii="Verdana" w:hAnsi="Verdana" w:cs="Arial"/>
          <w:iCs/>
          <w:spacing w:val="-2"/>
          <w:lang w:val="es-PE"/>
        </w:rPr>
        <w:t>D475-A-8R</w:t>
      </w:r>
      <w:r w:rsidR="00613107">
        <w:rPr>
          <w:rFonts w:ascii="Verdana" w:hAnsi="Verdana" w:cs="Arial"/>
          <w:iCs/>
          <w:spacing w:val="-2"/>
          <w:lang w:val="es-PE"/>
        </w:rPr>
        <w:t>,</w:t>
      </w:r>
      <w:r w:rsidR="00546567">
        <w:rPr>
          <w:rFonts w:ascii="Verdana" w:hAnsi="Verdana" w:cs="Arial"/>
          <w:iCs/>
          <w:spacing w:val="-2"/>
          <w:lang w:val="es-PE"/>
        </w:rPr>
        <w:t xml:space="preserve"> debido a una </w:t>
      </w:r>
      <w:r w:rsidR="000C415E">
        <w:rPr>
          <w:rFonts w:ascii="Verdana" w:hAnsi="Verdana" w:cs="Arial"/>
          <w:iCs/>
          <w:spacing w:val="-2"/>
          <w:lang w:val="es-PE"/>
        </w:rPr>
        <w:t xml:space="preserve">presunta </w:t>
      </w:r>
      <w:r w:rsidR="00546567">
        <w:rPr>
          <w:rFonts w:ascii="Verdana" w:hAnsi="Verdana" w:cs="Arial"/>
          <w:iCs/>
          <w:spacing w:val="-2"/>
          <w:lang w:val="es-PE"/>
        </w:rPr>
        <w:t>caída del citado artefacto</w:t>
      </w:r>
      <w:r w:rsidR="000C415E">
        <w:rPr>
          <w:rFonts w:ascii="Verdana" w:hAnsi="Verdana" w:cs="Arial"/>
          <w:iCs/>
          <w:spacing w:val="-2"/>
          <w:lang w:val="es-PE"/>
        </w:rPr>
        <w:t xml:space="preserve"> durante la operación de retiro en la bodega de la nave</w:t>
      </w:r>
      <w:r w:rsidRPr="00546567" w:rsidR="00546567">
        <w:rPr>
          <w:rFonts w:ascii="Verdana" w:hAnsi="Verdana" w:cs="Arial"/>
          <w:iCs/>
          <w:spacing w:val="-2"/>
          <w:lang w:val="es-PE"/>
        </w:rPr>
        <w:t>.</w:t>
      </w:r>
      <w:bookmarkEnd w:id="0"/>
      <w:r w:rsidR="00546567">
        <w:rPr>
          <w:rFonts w:ascii="Verdana" w:hAnsi="Verdana" w:cs="Arial"/>
          <w:iCs/>
          <w:spacing w:val="-2"/>
          <w:lang w:val="es-PE"/>
        </w:rPr>
        <w:t xml:space="preserve"> Asimismo, la Reclamante manifestó que debido </w:t>
      </w:r>
      <w:r w:rsidR="000C415E">
        <w:rPr>
          <w:rFonts w:ascii="Verdana" w:hAnsi="Verdana" w:cs="Arial"/>
          <w:iCs/>
          <w:spacing w:val="-2"/>
          <w:lang w:val="es-PE"/>
        </w:rPr>
        <w:t xml:space="preserve">a la presunta caída este habría dañado una baranda </w:t>
      </w:r>
      <w:r w:rsidR="005014A1">
        <w:rPr>
          <w:rFonts w:ascii="Verdana" w:hAnsi="Verdana" w:cs="Arial"/>
          <w:iCs/>
          <w:spacing w:val="-2"/>
          <w:lang w:val="es-PE"/>
        </w:rPr>
        <w:t>de seguridad de la bodega de la nave, así como el piso de la bodega de la nave.</w:t>
      </w:r>
    </w:p>
    <w:p w:rsidRPr="005014A1" w:rsidR="005014A1" w:rsidP="005014A1" w:rsidRDefault="005014A1" w14:paraId="1CBAEB55" w14:textId="77777777">
      <w:pPr>
        <w:pStyle w:val="ListParagraph"/>
        <w:rPr>
          <w:rFonts w:ascii="Verdana" w:hAnsi="Verdana"/>
          <w:lang w:val="es-PE"/>
        </w:rPr>
      </w:pPr>
    </w:p>
    <w:p w:rsidRPr="005014A1" w:rsidR="005014A1" w:rsidP="005014A1" w:rsidRDefault="005014A1" w14:paraId="0073DD12" w14:textId="0496C926">
      <w:pPr>
        <w:pStyle w:val="ListParagraph"/>
        <w:numPr>
          <w:ilvl w:val="1"/>
          <w:numId w:val="11"/>
        </w:numPr>
        <w:tabs>
          <w:tab w:val="left" w:pos="6972"/>
        </w:tabs>
        <w:suppressAutoHyphens/>
        <w:spacing w:line="276" w:lineRule="auto"/>
        <w:ind w:left="567" w:hanging="567"/>
        <w:jc w:val="both"/>
        <w:rPr>
          <w:rFonts w:ascii="Verdana" w:hAnsi="Verdana"/>
          <w:lang w:val="es-PE"/>
        </w:rPr>
      </w:pPr>
      <w:r w:rsidRPr="005014A1">
        <w:rPr>
          <w:rFonts w:ascii="Verdana" w:hAnsi="Verdana"/>
          <w:lang w:val="es-PE"/>
        </w:rPr>
        <w:t xml:space="preserve">Con fecha </w:t>
      </w:r>
      <w:r>
        <w:rPr>
          <w:rFonts w:ascii="Verdana" w:hAnsi="Verdana"/>
          <w:lang w:val="es-PE"/>
        </w:rPr>
        <w:t>31.03</w:t>
      </w:r>
      <w:r w:rsidRPr="005014A1">
        <w:rPr>
          <w:rFonts w:ascii="Verdana" w:hAnsi="Verdana"/>
          <w:lang w:val="es-PE"/>
        </w:rPr>
        <w:t>.2023, APMTC emitió la Carta No. 0</w:t>
      </w:r>
      <w:r>
        <w:rPr>
          <w:rFonts w:ascii="Verdana" w:hAnsi="Verdana"/>
          <w:lang w:val="es-PE"/>
        </w:rPr>
        <w:t>153</w:t>
      </w:r>
      <w:r w:rsidRPr="005014A1">
        <w:rPr>
          <w:rFonts w:ascii="Verdana" w:hAnsi="Verdana"/>
          <w:lang w:val="es-PE"/>
        </w:rPr>
        <w:t>-2023-APMTC/CL, recibida por la Reclamante el mismo día, mediante la cual manifestó que, siendo los hechos materia del reclamo de alta complejidad, procedía a ampliar el plazo de emisión de la respuesta al reclamo, al amparo del artículo 2.12 del Capítulo II del Reglamento de Atención y Solución de Reclamos de APMTC.</w:t>
      </w:r>
    </w:p>
    <w:p w:rsidR="00546567" w:rsidP="005014A1" w:rsidRDefault="00546567" w14:paraId="6C3BB871" w14:textId="27AF5CDF">
      <w:pPr>
        <w:pStyle w:val="ListParagraph"/>
        <w:tabs>
          <w:tab w:val="left" w:pos="6972"/>
        </w:tabs>
        <w:suppressAutoHyphens/>
        <w:spacing w:line="276" w:lineRule="auto"/>
        <w:ind w:left="567"/>
        <w:jc w:val="both"/>
        <w:rPr>
          <w:rFonts w:ascii="Verdana" w:hAnsi="Verdana"/>
          <w:lang w:val="es-PE"/>
        </w:rPr>
      </w:pPr>
    </w:p>
    <w:p w:rsidR="005014A1" w:rsidP="005014A1" w:rsidRDefault="005014A1" w14:paraId="0D8A94FB" w14:textId="18821CFB">
      <w:pPr>
        <w:pStyle w:val="ListParagraph"/>
        <w:tabs>
          <w:tab w:val="left" w:pos="6972"/>
        </w:tabs>
        <w:suppressAutoHyphens/>
        <w:spacing w:line="276" w:lineRule="auto"/>
        <w:ind w:left="567"/>
        <w:jc w:val="both"/>
        <w:rPr>
          <w:rFonts w:ascii="Verdana" w:hAnsi="Verdana"/>
          <w:lang w:val="es-PE"/>
        </w:rPr>
      </w:pPr>
    </w:p>
    <w:p w:rsidRPr="00546567" w:rsidR="005014A1" w:rsidP="005014A1" w:rsidRDefault="005014A1" w14:paraId="529E7AB6" w14:textId="77777777">
      <w:pPr>
        <w:pStyle w:val="ListParagraph"/>
        <w:tabs>
          <w:tab w:val="left" w:pos="6972"/>
        </w:tabs>
        <w:suppressAutoHyphens/>
        <w:spacing w:line="276" w:lineRule="auto"/>
        <w:ind w:left="567"/>
        <w:jc w:val="both"/>
        <w:rPr>
          <w:rFonts w:ascii="Verdana" w:hAnsi="Verdana"/>
          <w:lang w:val="es-PE"/>
        </w:rPr>
      </w:pPr>
    </w:p>
    <w:p w:rsidRPr="00D721B3" w:rsidR="005D46AD" w:rsidP="00514AA7" w:rsidRDefault="00B706D8" w14:paraId="7692053C" w14:textId="096DA7EE">
      <w:pPr>
        <w:pStyle w:val="ListParagraph"/>
        <w:widowControl/>
        <w:numPr>
          <w:ilvl w:val="0"/>
          <w:numId w:val="1"/>
        </w:numPr>
        <w:spacing w:line="276" w:lineRule="auto"/>
        <w:ind w:left="567" w:hanging="567"/>
        <w:jc w:val="both"/>
        <w:rPr>
          <w:rFonts w:ascii="Verdana" w:hAnsi="Verdana" w:cs="Arial"/>
          <w:b/>
          <w:lang w:val="es-MX"/>
        </w:rPr>
      </w:pPr>
      <w:r w:rsidRPr="00D721B3">
        <w:rPr>
          <w:rFonts w:ascii="Verdana" w:hAnsi="Verdana" w:cs="Arial"/>
          <w:b/>
          <w:iCs/>
          <w:spacing w:val="-2"/>
        </w:rPr>
        <w:lastRenderedPageBreak/>
        <w:t>ANÁLISIS</w:t>
      </w:r>
    </w:p>
    <w:p w:rsidRPr="00D721B3" w:rsidR="00A97D0A" w:rsidP="00514AA7" w:rsidRDefault="00A97D0A" w14:paraId="4374B1AF" w14:textId="77777777">
      <w:pPr>
        <w:spacing w:line="276" w:lineRule="auto"/>
        <w:jc w:val="both"/>
        <w:rPr>
          <w:rFonts w:ascii="Verdana" w:hAnsi="Verdana"/>
          <w:lang w:val="es-PE"/>
        </w:rPr>
      </w:pPr>
    </w:p>
    <w:p w:rsidR="00D721B3" w:rsidP="00514AA7" w:rsidRDefault="006F436D" w14:paraId="47ACC8E0" w14:textId="43A67BF2">
      <w:pPr>
        <w:pStyle w:val="ListParagraph"/>
        <w:spacing w:line="276" w:lineRule="auto"/>
        <w:ind w:left="0"/>
        <w:jc w:val="both"/>
        <w:rPr>
          <w:rFonts w:ascii="Verdana" w:hAnsi="Verdana" w:cs="Arial"/>
          <w:iCs/>
          <w:lang w:val="es-PE"/>
        </w:rPr>
      </w:pPr>
      <w:r w:rsidRPr="00D721B3">
        <w:rPr>
          <w:rFonts w:ascii="Verdana" w:hAnsi="Verdana" w:cs="Arial"/>
          <w:lang w:val="es-PE"/>
        </w:rPr>
        <w:t xml:space="preserve">De la revisión del </w:t>
      </w:r>
      <w:r w:rsidRPr="00D721B3" w:rsidR="00BE6725">
        <w:rPr>
          <w:rFonts w:ascii="Verdana" w:hAnsi="Verdana" w:cs="Arial"/>
          <w:lang w:val="es-PE"/>
        </w:rPr>
        <w:t>reclamo</w:t>
      </w:r>
      <w:r w:rsidRPr="00D721B3">
        <w:rPr>
          <w:rFonts w:ascii="Verdana" w:hAnsi="Verdana" w:cs="Arial"/>
          <w:lang w:val="es-PE"/>
        </w:rPr>
        <w:t xml:space="preserve"> interpuesto por </w:t>
      </w:r>
      <w:r w:rsidRPr="00D721B3" w:rsidR="00044C13">
        <w:rPr>
          <w:rFonts w:ascii="Verdana" w:hAnsi="Verdana" w:cs="Arial"/>
          <w:iCs/>
          <w:lang w:val="es-PE"/>
        </w:rPr>
        <w:t>AGUNSA</w:t>
      </w:r>
      <w:r w:rsidRPr="00D721B3">
        <w:rPr>
          <w:rFonts w:ascii="Verdana" w:hAnsi="Verdana" w:cs="Arial"/>
          <w:iCs/>
          <w:lang w:val="es-PE"/>
        </w:rPr>
        <w:t xml:space="preserve">, </w:t>
      </w:r>
      <w:r w:rsidRPr="00D721B3" w:rsidR="00D721B3">
        <w:rPr>
          <w:rFonts w:ascii="Verdana" w:hAnsi="Verdana" w:cs="Arial"/>
          <w:iCs/>
          <w:lang w:val="es-PE"/>
        </w:rPr>
        <w:t xml:space="preserve">podemos advertir que el objeto </w:t>
      </w:r>
      <w:r w:rsidRPr="00D721B3" w:rsidR="005014A1">
        <w:rPr>
          <w:rFonts w:ascii="Verdana" w:hAnsi="Verdana" w:cs="Arial"/>
          <w:iCs/>
          <w:lang w:val="es-PE"/>
        </w:rPr>
        <w:t>de este</w:t>
      </w:r>
      <w:r w:rsidRPr="00D721B3" w:rsidR="00D721B3">
        <w:rPr>
          <w:rFonts w:ascii="Verdana" w:hAnsi="Verdana" w:cs="Arial"/>
          <w:iCs/>
          <w:lang w:val="es-PE"/>
        </w:rPr>
        <w:t xml:space="preserve"> se refiere a</w:t>
      </w:r>
      <w:r w:rsidR="00DF387E">
        <w:rPr>
          <w:rFonts w:ascii="Verdana" w:hAnsi="Verdana" w:cs="Arial"/>
          <w:iCs/>
          <w:lang w:val="es-PE"/>
        </w:rPr>
        <w:t>l</w:t>
      </w:r>
      <w:r w:rsidRPr="00D721B3" w:rsidR="00D721B3">
        <w:rPr>
          <w:rFonts w:ascii="Verdana" w:hAnsi="Verdana" w:cs="Arial"/>
          <w:iCs/>
          <w:lang w:val="es-PE"/>
        </w:rPr>
        <w:t xml:space="preserve"> </w:t>
      </w:r>
      <w:r w:rsidRPr="00DF387E" w:rsidR="00DF387E">
        <w:rPr>
          <w:rFonts w:ascii="Verdana" w:hAnsi="Verdana" w:cs="Arial"/>
          <w:iCs/>
          <w:lang w:val="es-PE"/>
        </w:rPr>
        <w:t xml:space="preserve">supuesto daño </w:t>
      </w:r>
      <w:r w:rsidRPr="005014A1" w:rsidR="005014A1">
        <w:rPr>
          <w:rFonts w:ascii="Verdana" w:hAnsi="Verdana" w:cs="Arial"/>
          <w:iCs/>
          <w:lang w:val="es-PE"/>
        </w:rPr>
        <w:t>a la cuchara de la unidad de marca CATERPILLAR con número de serie D475-A-8R debido a una presunta caída del citado artefacto durante la operación de retiro en la bodega de la nave. Asimismo, la Reclamante manifestó que debido a la presunta caída este habría dañado una baranda de seguridad de la bodega de la nave, así como el piso de la bodega de la nave.</w:t>
      </w:r>
    </w:p>
    <w:p w:rsidR="00DF387E" w:rsidP="00514AA7" w:rsidRDefault="00DF387E" w14:paraId="3A43098E" w14:textId="38D25C9C">
      <w:pPr>
        <w:pStyle w:val="ListParagraph"/>
        <w:spacing w:line="276" w:lineRule="auto"/>
        <w:ind w:left="0"/>
        <w:jc w:val="both"/>
        <w:rPr>
          <w:rFonts w:ascii="Verdana" w:hAnsi="Verdana" w:cs="Arial"/>
          <w:iCs/>
          <w:lang w:val="es-PE"/>
        </w:rPr>
      </w:pPr>
    </w:p>
    <w:p w:rsidR="00DF387E" w:rsidP="00514AA7" w:rsidRDefault="00DF387E" w14:paraId="7937A635" w14:textId="5C556C17">
      <w:pPr>
        <w:pStyle w:val="ListParagraph"/>
        <w:spacing w:line="276" w:lineRule="auto"/>
        <w:ind w:left="0"/>
        <w:jc w:val="both"/>
        <w:rPr>
          <w:rFonts w:ascii="Verdana" w:hAnsi="Verdana" w:cs="Arial"/>
          <w:iCs/>
          <w:lang w:val="es-PE"/>
        </w:rPr>
      </w:pPr>
      <w:r>
        <w:rPr>
          <w:rFonts w:ascii="Verdana" w:hAnsi="Verdana" w:cs="Arial"/>
          <w:iCs/>
          <w:lang w:val="es-PE"/>
        </w:rPr>
        <w:t xml:space="preserve">Es importante mencionar que la Reclamante no acreditó que la maquinaria materia de reclamo hubiese sido embarcada en </w:t>
      </w:r>
      <w:r w:rsidR="000A57C4">
        <w:rPr>
          <w:rFonts w:ascii="Verdana" w:hAnsi="Verdana" w:cs="Arial"/>
          <w:iCs/>
          <w:lang w:val="es-PE"/>
        </w:rPr>
        <w:t>buenas condiciones, ni mucho menos que la misma hubiese arribado al TNM en perfectas condiciones.</w:t>
      </w:r>
    </w:p>
    <w:p w:rsidR="00E46F5D" w:rsidP="00514AA7" w:rsidRDefault="00E46F5D" w14:paraId="3B53659A" w14:textId="77777777">
      <w:pPr>
        <w:pStyle w:val="ListParagraph"/>
        <w:spacing w:line="276" w:lineRule="auto"/>
        <w:ind w:left="0"/>
        <w:jc w:val="both"/>
        <w:rPr>
          <w:rFonts w:ascii="Verdana" w:hAnsi="Verdana" w:cs="Arial"/>
          <w:lang w:val="es-PE"/>
        </w:rPr>
      </w:pPr>
    </w:p>
    <w:p w:rsidRPr="00D721B3" w:rsidR="006F436D" w:rsidP="00514AA7" w:rsidRDefault="006F436D" w14:paraId="34D588E6" w14:textId="0EA76A7C">
      <w:pPr>
        <w:spacing w:line="276" w:lineRule="auto"/>
        <w:jc w:val="both"/>
        <w:rPr>
          <w:rFonts w:ascii="Verdana" w:hAnsi="Verdana" w:cs="Arial"/>
          <w:lang w:val="es-PE"/>
        </w:rPr>
      </w:pPr>
      <w:r w:rsidRPr="00D721B3">
        <w:rPr>
          <w:rFonts w:ascii="Verdana" w:hAnsi="Verdana" w:cs="Arial"/>
          <w:lang w:val="es-PE"/>
        </w:rPr>
        <w:t>A fin de resolver el referido reclamo resulta necesario:</w:t>
      </w:r>
    </w:p>
    <w:p w:rsidRPr="00195A2E" w:rsidR="00D721B3" w:rsidP="00514AA7" w:rsidRDefault="00D721B3" w14:paraId="512EE22B" w14:textId="77777777">
      <w:pPr>
        <w:spacing w:line="276" w:lineRule="auto"/>
        <w:jc w:val="both"/>
        <w:rPr>
          <w:rFonts w:ascii="Verdana" w:hAnsi="Verdana" w:cs="Arial"/>
          <w:highlight w:val="yellow"/>
          <w:lang w:val="es-PE"/>
        </w:rPr>
      </w:pPr>
    </w:p>
    <w:p w:rsidR="00C62378" w:rsidP="00514AA7" w:rsidRDefault="00C62378" w14:paraId="6BFB0921" w14:textId="77777777">
      <w:pPr>
        <w:numPr>
          <w:ilvl w:val="0"/>
          <w:numId w:val="3"/>
        </w:numPr>
        <w:spacing w:line="276" w:lineRule="auto"/>
        <w:ind w:left="567" w:hanging="567"/>
        <w:contextualSpacing/>
        <w:jc w:val="both"/>
        <w:rPr>
          <w:rFonts w:ascii="Verdana" w:hAnsi="Verdana" w:cs="Arial"/>
          <w:iCs/>
          <w:spacing w:val="-2"/>
        </w:rPr>
      </w:pPr>
      <w:r>
        <w:rPr>
          <w:rFonts w:ascii="Verdana" w:hAnsi="Verdana"/>
          <w:lang w:val="es-PE"/>
        </w:rPr>
        <w:t>Determinar si la Reclamante ha acreditado fehacientemente los daños alegados y que los mismos se produjeron debido al incumplimiento de una obligación de APMTC o a su cumplimiento parcial tardío o defectuoso.</w:t>
      </w:r>
    </w:p>
    <w:p w:rsidRPr="008B0F84" w:rsidR="00C62378" w:rsidP="00514AA7" w:rsidRDefault="00C62378" w14:paraId="189A297B" w14:textId="77777777">
      <w:pPr>
        <w:numPr>
          <w:ilvl w:val="0"/>
          <w:numId w:val="3"/>
        </w:numPr>
        <w:spacing w:line="276" w:lineRule="auto"/>
        <w:ind w:left="567" w:hanging="567"/>
        <w:contextualSpacing/>
        <w:jc w:val="both"/>
        <w:rPr>
          <w:rFonts w:ascii="Verdana" w:hAnsi="Verdana" w:cs="Arial"/>
          <w:iCs/>
          <w:spacing w:val="-2"/>
        </w:rPr>
      </w:pPr>
      <w:r>
        <w:rPr>
          <w:rFonts w:ascii="Verdana" w:hAnsi="Verdana"/>
        </w:rPr>
        <w:t xml:space="preserve">Verificar la aplicación del Reglamento de operaciones vigente al momento de </w:t>
      </w:r>
      <w:r w:rsidRPr="008B0F84">
        <w:rPr>
          <w:rFonts w:ascii="Verdana" w:hAnsi="Verdana"/>
        </w:rPr>
        <w:t>ocurridos los hechos.</w:t>
      </w:r>
    </w:p>
    <w:p w:rsidRPr="008B0F84" w:rsidR="00C62378" w:rsidP="00514AA7" w:rsidRDefault="00C62378" w14:paraId="6D361C23" w14:textId="77777777">
      <w:pPr>
        <w:numPr>
          <w:ilvl w:val="0"/>
          <w:numId w:val="3"/>
        </w:numPr>
        <w:spacing w:line="276" w:lineRule="auto"/>
        <w:ind w:left="567" w:hanging="567"/>
        <w:contextualSpacing/>
        <w:jc w:val="both"/>
        <w:rPr>
          <w:rFonts w:ascii="Verdana" w:hAnsi="Verdana" w:cs="Arial"/>
          <w:iCs/>
          <w:spacing w:val="-2"/>
        </w:rPr>
      </w:pPr>
      <w:r w:rsidRPr="008B0F84">
        <w:rPr>
          <w:rFonts w:ascii="Verdana" w:hAnsi="Verdana"/>
        </w:rPr>
        <w:t>Analizar medios probatorios presentados por la Reclamante</w:t>
      </w:r>
      <w:r w:rsidRPr="008B0F84">
        <w:rPr>
          <w:rFonts w:ascii="Verdana" w:hAnsi="Verdana"/>
          <w:lang w:val="es-PE"/>
        </w:rPr>
        <w:t>.</w:t>
      </w:r>
    </w:p>
    <w:p w:rsidRPr="008B0F84" w:rsidR="002B333E" w:rsidP="00514AA7" w:rsidRDefault="002B333E" w14:paraId="098F4BDD" w14:textId="7D81ED0F">
      <w:pPr>
        <w:pStyle w:val="ListParagraph"/>
        <w:spacing w:line="276" w:lineRule="auto"/>
        <w:ind w:left="1440"/>
        <w:jc w:val="both"/>
        <w:rPr>
          <w:rFonts w:ascii="Verdana" w:hAnsi="Verdana" w:cs="Arial"/>
          <w:iCs/>
          <w:spacing w:val="-2"/>
        </w:rPr>
      </w:pPr>
    </w:p>
    <w:p w:rsidRPr="008B0F84" w:rsidR="00B706D8" w:rsidP="00514AA7" w:rsidRDefault="00EB7AFF" w14:paraId="61A70080" w14:textId="138D8FDB">
      <w:pPr>
        <w:pStyle w:val="ListParagraph"/>
        <w:numPr>
          <w:ilvl w:val="1"/>
          <w:numId w:val="1"/>
        </w:numPr>
        <w:spacing w:line="276" w:lineRule="auto"/>
        <w:ind w:left="567" w:hanging="567"/>
        <w:jc w:val="both"/>
        <w:rPr>
          <w:rFonts w:ascii="Verdana" w:hAnsi="Verdana" w:cs="Arial"/>
          <w:b/>
          <w:iCs/>
          <w:spacing w:val="-2"/>
        </w:rPr>
      </w:pPr>
      <w:r w:rsidRPr="008B0F84">
        <w:rPr>
          <w:rFonts w:ascii="Verdana" w:hAnsi="Verdana"/>
          <w:b/>
        </w:rPr>
        <w:t>Acreditación fehaciente de los perjuicios alegados por la Reclamante</w:t>
      </w:r>
    </w:p>
    <w:p w:rsidRPr="008B0F84" w:rsidR="005D46AD" w:rsidP="00514AA7" w:rsidRDefault="005D46AD" w14:paraId="5B26F341" w14:textId="30947261">
      <w:pPr>
        <w:spacing w:line="276" w:lineRule="auto"/>
        <w:jc w:val="both"/>
        <w:rPr>
          <w:rFonts w:ascii="Verdana" w:hAnsi="Verdana"/>
          <w:b/>
        </w:rPr>
      </w:pPr>
    </w:p>
    <w:p w:rsidRPr="00B8648F" w:rsidR="00DF387E" w:rsidP="00514AA7" w:rsidRDefault="00DF387E" w14:paraId="5BD8B9A4" w14:textId="77777777">
      <w:pPr>
        <w:pStyle w:val="ListParagraph"/>
        <w:spacing w:line="276" w:lineRule="auto"/>
        <w:ind w:left="567"/>
        <w:jc w:val="both"/>
        <w:rPr>
          <w:rFonts w:ascii="Verdana" w:hAnsi="Verdana"/>
          <w:lang w:val="es-PE"/>
        </w:rPr>
      </w:pPr>
      <w:r>
        <w:rPr>
          <w:rStyle w:val="normaltextrun"/>
          <w:rFonts w:ascii="Verdana" w:hAnsi="Verdana"/>
          <w:color w:val="000000"/>
          <w:shd w:val="clear" w:color="auto" w:fill="FFFFFF"/>
          <w:lang w:val="es-ES"/>
        </w:rPr>
        <w:t>A efectos de determinar si APMTC es responsable por los daños alegados por la Reclamante, resulta necesario definir la responsabilidad civil, de esta manera,</w:t>
      </w:r>
      <w:r>
        <w:rPr>
          <w:rStyle w:val="normaltextrun"/>
          <w:rFonts w:ascii="Verdana" w:hAnsi="Verdana"/>
          <w:color w:val="000000"/>
          <w:shd w:val="clear" w:color="auto" w:fill="FFFFFF"/>
        </w:rPr>
        <w:t xml:space="preserve"> el considerando quinto del Exp. No. 07585-2018-0-1801-JR-LA-84 indica</w:t>
      </w:r>
      <w:r w:rsidRPr="00B8648F">
        <w:rPr>
          <w:rFonts w:ascii="Verdana" w:hAnsi="Verdana"/>
          <w:lang w:val="es-PE"/>
        </w:rPr>
        <w:t>:</w:t>
      </w:r>
    </w:p>
    <w:p w:rsidRPr="00B8648F" w:rsidR="00DF387E" w:rsidP="00514AA7" w:rsidRDefault="00DF387E" w14:paraId="2456B633" w14:textId="77777777">
      <w:pPr>
        <w:pStyle w:val="ListParagraph"/>
        <w:spacing w:line="276" w:lineRule="auto"/>
        <w:jc w:val="both"/>
        <w:rPr>
          <w:rFonts w:ascii="Verdana" w:hAnsi="Verdana"/>
          <w:lang w:val="es-PE"/>
        </w:rPr>
      </w:pPr>
    </w:p>
    <w:p w:rsidRPr="00F11D58" w:rsidR="00DF387E" w:rsidP="00514AA7" w:rsidRDefault="00DF387E" w14:paraId="2D989267"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i/>
          <w:iCs/>
          <w:lang w:val="es-PE" w:eastAsia="es-PE"/>
        </w:rPr>
        <w:t>“QUINTO: Respecto a la indemnización por daños y perjuicios. –</w:t>
      </w:r>
      <w:r w:rsidRPr="00F11D58">
        <w:rPr>
          <w:rFonts w:ascii="Verdana" w:hAnsi="Verdana" w:cs="Segoe UI"/>
          <w:lang w:val="es-PE" w:eastAsia="es-PE"/>
        </w:rPr>
        <w:t> </w:t>
      </w:r>
    </w:p>
    <w:p w:rsidRPr="00F11D58" w:rsidR="00DF387E" w:rsidP="00514AA7" w:rsidRDefault="00DF387E" w14:paraId="51354505"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i/>
          <w:iCs/>
          <w:lang w:val="es-PE" w:eastAsia="es-PE"/>
        </w:rPr>
        <w:t> La responsabilidad civil es una institución jurídica dentro del cual existe la obligación de indemnizar por daños causados en virtud a un incumplimiento de las obligaciones asumidas mediante una relación contractual o por el acontecimiento de un hecho ilícito o riesgo creado (fuente extracontractual), en donde su reparación deberá consistir en el establecimiento de una situación anterior o -cuando ello sea imposible- en un pago por concepto de indemnización</w:t>
      </w:r>
    </w:p>
    <w:p w:rsidRPr="00B8648F" w:rsidR="00DF387E" w:rsidP="00514AA7" w:rsidRDefault="00DF387E" w14:paraId="03A5B539" w14:textId="77777777">
      <w:pPr>
        <w:spacing w:line="276" w:lineRule="auto"/>
        <w:jc w:val="both"/>
        <w:rPr>
          <w:rFonts w:ascii="Verdana" w:hAnsi="Verdana"/>
          <w:lang w:val="es-PE"/>
        </w:rPr>
      </w:pPr>
    </w:p>
    <w:p w:rsidRPr="00F11D58" w:rsidR="00DF387E" w:rsidP="00514AA7" w:rsidRDefault="00DF387E" w14:paraId="07260E79" w14:textId="77777777">
      <w:pPr>
        <w:widowControl/>
        <w:spacing w:line="276" w:lineRule="auto"/>
        <w:ind w:left="555"/>
        <w:jc w:val="both"/>
        <w:textAlignment w:val="baseline"/>
        <w:rPr>
          <w:rFonts w:ascii="Segoe UI" w:hAnsi="Segoe UI" w:cs="Segoe UI"/>
          <w:sz w:val="18"/>
          <w:szCs w:val="18"/>
          <w:lang w:val="es-PE" w:eastAsia="es-PE"/>
        </w:rPr>
      </w:pPr>
      <w:r w:rsidRPr="00F11D58">
        <w:rPr>
          <w:rFonts w:ascii="Verdana" w:hAnsi="Verdana" w:cs="Segoe UI"/>
          <w:lang w:val="es-PE" w:eastAsia="es-PE"/>
        </w:rPr>
        <w:t>En ese sentido, refiriéndose a los elementos constitutivos de la responsabilidad civil el fundamento 14 de la Casación 3470-2015, Lima Norte menciona lo siguiente: </w:t>
      </w:r>
    </w:p>
    <w:p w:rsidRPr="00F11D58" w:rsidR="00DF387E" w:rsidP="00514AA7" w:rsidRDefault="00DF387E" w14:paraId="5A05E55D" w14:textId="77777777">
      <w:pPr>
        <w:widowControl/>
        <w:spacing w:line="276" w:lineRule="auto"/>
        <w:ind w:left="555"/>
        <w:jc w:val="both"/>
        <w:textAlignment w:val="baseline"/>
        <w:rPr>
          <w:rFonts w:ascii="Segoe UI" w:hAnsi="Segoe UI" w:cs="Segoe UI"/>
          <w:sz w:val="18"/>
          <w:szCs w:val="18"/>
          <w:lang w:val="es-PE" w:eastAsia="es-PE"/>
        </w:rPr>
      </w:pPr>
      <w:r w:rsidRPr="00F11D58">
        <w:rPr>
          <w:rFonts w:ascii="Verdana" w:hAnsi="Verdana" w:cs="Segoe UI"/>
          <w:lang w:val="es-PE" w:eastAsia="es-PE"/>
        </w:rPr>
        <w:t> </w:t>
      </w:r>
    </w:p>
    <w:p w:rsidRPr="00F11D58" w:rsidR="00DF387E" w:rsidP="00514AA7" w:rsidRDefault="00DF387E" w14:paraId="2F3CFD79"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es necesario señalar por tanto que en la doctrina se han establecido cuatro elementos conformantes de la responsabilidad civil y estos son: </w:t>
      </w:r>
    </w:p>
    <w:p w:rsidRPr="00F11D58" w:rsidR="00DF387E" w:rsidP="00514AA7" w:rsidRDefault="00DF387E" w14:paraId="51D4D8E2"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w:t>
      </w:r>
    </w:p>
    <w:p w:rsidRPr="00F11D58" w:rsidR="00DF387E" w:rsidP="00514AA7" w:rsidRDefault="00DF387E" w14:paraId="6D912C57"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lastRenderedPageBreak/>
        <w:t>1) La antijuridicidad; entendida como la conducta contraria a ley o al ordenamiento jurídico; </w:t>
      </w:r>
    </w:p>
    <w:p w:rsidRPr="00F11D58" w:rsidR="00DF387E" w:rsidP="00514AA7" w:rsidRDefault="00DF387E" w14:paraId="755F086D"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w:t>
      </w:r>
    </w:p>
    <w:p w:rsidRPr="00F11D58" w:rsidR="00DF387E" w:rsidP="00514AA7" w:rsidRDefault="00DF387E" w14:paraId="59D3437E"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2) El factor de atribución; que es el título por el cual se asume responsabilidad, pudiendo ser este subjetivo (por dolo o culpa) u objetivo (por realizar actividades o, ser titular de determinadas situaciones jurídicas previstas en el ordenamiento jurídico), considerándose inclusive dentro de esta subclasificación al abuso del derecho y la equidad (Cfr. ESPINOZA ESPINOZA, Juan. Derecho de la Responsabilidad Civil. Primera Edición, Gaceta Jurídica Sociedad Anónima, Lima, 2002; página 80); </w:t>
      </w:r>
    </w:p>
    <w:p w:rsidRPr="00F11D58" w:rsidR="00DF387E" w:rsidP="00514AA7" w:rsidRDefault="00DF387E" w14:paraId="18D12965"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w:t>
      </w:r>
    </w:p>
    <w:p w:rsidRPr="00F11D58" w:rsidR="00DF387E" w:rsidP="00514AA7" w:rsidRDefault="00DF387E" w14:paraId="2B2DBB65"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3) El nexo causal o relación de causalidad adecuada entre el hecho y el daño producido; y </w:t>
      </w:r>
    </w:p>
    <w:p w:rsidRPr="00F11D58" w:rsidR="00DF387E" w:rsidP="00514AA7" w:rsidRDefault="00DF387E" w14:paraId="147AD1E8"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 </w:t>
      </w:r>
    </w:p>
    <w:p w:rsidRPr="00A41351" w:rsidR="00DF387E" w:rsidP="00514AA7" w:rsidRDefault="00DF387E" w14:paraId="46D37E4F" w14:textId="77777777">
      <w:pPr>
        <w:widowControl/>
        <w:spacing w:line="276" w:lineRule="auto"/>
        <w:ind w:left="1123"/>
        <w:jc w:val="both"/>
        <w:textAlignment w:val="baseline"/>
        <w:rPr>
          <w:rFonts w:ascii="Verdana" w:hAnsi="Verdana" w:cs="Segoe UI"/>
          <w:i/>
          <w:iCs/>
          <w:lang w:val="es-PE" w:eastAsia="es-PE"/>
        </w:rPr>
      </w:pPr>
      <w:r w:rsidRPr="00F11D58">
        <w:rPr>
          <w:rFonts w:ascii="Verdana" w:hAnsi="Verdana" w:cs="Segoe UI"/>
          <w:i/>
          <w:iCs/>
          <w:lang w:val="es-PE" w:eastAsia="es-PE"/>
        </w:rPr>
        <w:t>4) El daño, que es consecuencia de la lesión al interés protegido y puede ser patrimonial (daño emergente o lucro cesante) o extrapatrimonial (daño moral y daño a la persona). </w:t>
      </w:r>
    </w:p>
    <w:p w:rsidR="00DF387E" w:rsidP="00514AA7" w:rsidRDefault="00DF387E" w14:paraId="3AA16C0D" w14:textId="77777777">
      <w:pPr>
        <w:tabs>
          <w:tab w:val="left" w:pos="900"/>
        </w:tabs>
        <w:spacing w:line="276" w:lineRule="auto"/>
        <w:ind w:left="1134"/>
        <w:jc w:val="both"/>
        <w:rPr>
          <w:rFonts w:ascii="Verdana" w:hAnsi="Verdana"/>
          <w:lang w:val="es-PE"/>
        </w:rPr>
      </w:pPr>
    </w:p>
    <w:p w:rsidRPr="00F11D58" w:rsidR="00DF387E" w:rsidP="00514AA7" w:rsidRDefault="00DF387E" w14:paraId="5DBAEFE9" w14:textId="77777777">
      <w:pPr>
        <w:widowControl/>
        <w:spacing w:line="276" w:lineRule="auto"/>
        <w:ind w:left="555"/>
        <w:jc w:val="both"/>
        <w:textAlignment w:val="baseline"/>
        <w:rPr>
          <w:rFonts w:ascii="Segoe UI" w:hAnsi="Segoe UI" w:cs="Segoe UI"/>
          <w:sz w:val="18"/>
          <w:szCs w:val="18"/>
          <w:lang w:val="es-PE" w:eastAsia="es-PE"/>
        </w:rPr>
      </w:pPr>
      <w:r w:rsidRPr="00F11D58">
        <w:rPr>
          <w:rFonts w:ascii="Verdana" w:hAnsi="Verdana" w:cs="Segoe UI"/>
          <w:lang w:val="es-PE" w:eastAsia="es-PE"/>
        </w:rPr>
        <w:t>Respecto a la indemnización por daños y perjuicios por responsabilidad civil</w:t>
      </w:r>
      <w:r w:rsidRPr="00F11D58">
        <w:rPr>
          <w:rFonts w:ascii="Verdana" w:hAnsi="Verdana" w:cs="Segoe UI"/>
          <w:lang w:val="es-ES" w:eastAsia="es-PE"/>
        </w:rPr>
        <w:t>, el artículo 1321 del Código Civil señala</w:t>
      </w:r>
      <w:r w:rsidRPr="00F11D58">
        <w:rPr>
          <w:rFonts w:ascii="Verdana" w:hAnsi="Verdana" w:cs="Segoe UI"/>
          <w:lang w:val="es-PE" w:eastAsia="es-PE"/>
        </w:rPr>
        <w:t>: </w:t>
      </w:r>
    </w:p>
    <w:p w:rsidRPr="00F11D58" w:rsidR="00DF387E" w:rsidP="00514AA7" w:rsidRDefault="00DF387E" w14:paraId="67929888" w14:textId="77777777">
      <w:pPr>
        <w:widowControl/>
        <w:spacing w:line="276" w:lineRule="auto"/>
        <w:ind w:left="720"/>
        <w:jc w:val="both"/>
        <w:textAlignment w:val="baseline"/>
        <w:rPr>
          <w:rFonts w:ascii="Segoe UI" w:hAnsi="Segoe UI" w:cs="Segoe UI"/>
          <w:sz w:val="18"/>
          <w:szCs w:val="18"/>
          <w:lang w:val="es-PE" w:eastAsia="es-PE"/>
        </w:rPr>
      </w:pPr>
      <w:r w:rsidRPr="00F11D58">
        <w:rPr>
          <w:rFonts w:ascii="Verdana" w:hAnsi="Verdana" w:cs="Segoe UI"/>
          <w:lang w:val="es-PE" w:eastAsia="es-PE"/>
        </w:rPr>
        <w:t> </w:t>
      </w:r>
    </w:p>
    <w:p w:rsidRPr="00F11D58" w:rsidR="00DF387E" w:rsidP="00514AA7" w:rsidRDefault="00DF387E" w14:paraId="7DF27FE8"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lang w:val="es-PE" w:eastAsia="es-PE"/>
        </w:rPr>
        <w:t>“</w:t>
      </w:r>
      <w:r w:rsidRPr="00F11D58">
        <w:rPr>
          <w:rFonts w:ascii="Verdana" w:hAnsi="Verdana" w:cs="Segoe UI"/>
          <w:i/>
          <w:iCs/>
          <w:lang w:val="es-PE" w:eastAsia="es-PE"/>
        </w:rPr>
        <w:t>Artículo 1321.- Queda sujeto a la indemnización de daños a perjuicios quien no ejecuta sus obligaciones por dolo, culpa inexcusable o culpa leve.</w:t>
      </w:r>
      <w:r w:rsidRPr="00F11D58">
        <w:rPr>
          <w:rFonts w:ascii="Verdana" w:hAnsi="Verdana" w:cs="Segoe UI"/>
          <w:lang w:val="es-PE" w:eastAsia="es-PE"/>
        </w:rPr>
        <w:t> </w:t>
      </w:r>
    </w:p>
    <w:p w:rsidRPr="00F11D58" w:rsidR="00DF387E" w:rsidP="00514AA7" w:rsidRDefault="00DF387E" w14:paraId="5B21D3B3"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i/>
          <w:iCs/>
          <w:lang w:val="es-PE" w:eastAsia="es-PE"/>
        </w:rPr>
        <w:t xml:space="preserve">El resarcimiento por la inejecución de la obligación o por su cumplimiento parcial, tardío o defectuoso, comprende tanto el daño emergente como el lucro cesante, </w:t>
      </w:r>
      <w:r w:rsidRPr="00F11D58">
        <w:rPr>
          <w:rFonts w:ascii="Verdana" w:hAnsi="Verdana" w:cs="Segoe UI"/>
          <w:i/>
          <w:iCs/>
          <w:u w:val="single"/>
          <w:lang w:val="es-PE" w:eastAsia="es-PE"/>
        </w:rPr>
        <w:t>en cuanto sean consecuencia inmediata y directa de tal inejecución.</w:t>
      </w:r>
      <w:r w:rsidRPr="00F11D58">
        <w:rPr>
          <w:rFonts w:ascii="Verdana" w:hAnsi="Verdana" w:cs="Segoe UI"/>
          <w:lang w:val="es-PE" w:eastAsia="es-PE"/>
        </w:rPr>
        <w:t> </w:t>
      </w:r>
    </w:p>
    <w:p w:rsidRPr="00F11D58" w:rsidR="00DF387E" w:rsidP="00514AA7" w:rsidRDefault="00DF387E" w14:paraId="3BC373F0" w14:textId="77777777">
      <w:pPr>
        <w:widowControl/>
        <w:spacing w:line="276" w:lineRule="auto"/>
        <w:ind w:left="1123"/>
        <w:jc w:val="both"/>
        <w:textAlignment w:val="baseline"/>
        <w:rPr>
          <w:rFonts w:ascii="Segoe UI" w:hAnsi="Segoe UI" w:cs="Segoe UI"/>
          <w:sz w:val="18"/>
          <w:szCs w:val="18"/>
          <w:lang w:val="es-PE" w:eastAsia="es-PE"/>
        </w:rPr>
      </w:pPr>
      <w:r w:rsidRPr="00F11D58">
        <w:rPr>
          <w:rFonts w:ascii="Verdana" w:hAnsi="Verdana" w:cs="Segoe UI"/>
          <w:i/>
          <w:iCs/>
          <w:lang w:val="es-PE" w:eastAsia="es-PE"/>
        </w:rPr>
        <w:t>Si la inejecución o el incumplimiento parcial, tardío o defectuoso de la obligación, obedecieran a culpa leve, el resarcimiento se limita al daño que podía preverse al tiempo en que ella fue contraída</w:t>
      </w:r>
      <w:r w:rsidRPr="00F11D58">
        <w:rPr>
          <w:rFonts w:ascii="Verdana" w:hAnsi="Verdana" w:cs="Segoe UI"/>
          <w:lang w:val="es-PE" w:eastAsia="es-PE"/>
        </w:rPr>
        <w:t>”. </w:t>
      </w:r>
    </w:p>
    <w:p w:rsidR="00DF387E" w:rsidP="00514AA7" w:rsidRDefault="00DF387E" w14:paraId="544385F8" w14:textId="77777777">
      <w:pPr>
        <w:widowControl/>
        <w:spacing w:line="276" w:lineRule="auto"/>
        <w:ind w:left="1123"/>
        <w:jc w:val="both"/>
        <w:textAlignment w:val="baseline"/>
        <w:rPr>
          <w:rFonts w:ascii="Verdana" w:hAnsi="Verdana" w:cs="Segoe UI"/>
          <w:lang w:val="es-PE" w:eastAsia="es-PE"/>
        </w:rPr>
      </w:pPr>
      <w:r w:rsidRPr="00F11D58">
        <w:rPr>
          <w:rFonts w:ascii="Verdana" w:hAnsi="Verdana" w:cs="Segoe UI"/>
          <w:lang w:val="es-PE" w:eastAsia="es-PE"/>
        </w:rPr>
        <w:t>-El subrayado es nuestro- </w:t>
      </w:r>
    </w:p>
    <w:p w:rsidRPr="00F11D58" w:rsidR="00DF387E" w:rsidP="00514AA7" w:rsidRDefault="00DF387E" w14:paraId="3D775562" w14:textId="77777777">
      <w:pPr>
        <w:widowControl/>
        <w:spacing w:line="276" w:lineRule="auto"/>
        <w:ind w:left="1125"/>
        <w:jc w:val="both"/>
        <w:textAlignment w:val="baseline"/>
        <w:rPr>
          <w:rFonts w:ascii="Segoe UI" w:hAnsi="Segoe UI" w:cs="Segoe UI"/>
          <w:sz w:val="18"/>
          <w:szCs w:val="18"/>
          <w:lang w:val="es-PE" w:eastAsia="es-PE"/>
        </w:rPr>
      </w:pPr>
    </w:p>
    <w:p w:rsidRPr="00F11D58" w:rsidR="00DF387E" w:rsidP="00514AA7" w:rsidRDefault="00DF387E" w14:paraId="261365B9" w14:textId="77777777">
      <w:pPr>
        <w:widowControl/>
        <w:spacing w:line="276" w:lineRule="auto"/>
        <w:ind w:left="555"/>
        <w:jc w:val="both"/>
        <w:textAlignment w:val="baseline"/>
        <w:rPr>
          <w:rFonts w:ascii="Segoe UI" w:hAnsi="Segoe UI" w:cs="Segoe UI"/>
          <w:sz w:val="18"/>
          <w:szCs w:val="18"/>
          <w:lang w:val="es-PE" w:eastAsia="es-PE"/>
        </w:rPr>
      </w:pPr>
      <w:r w:rsidRPr="00F11D58">
        <w:rPr>
          <w:rFonts w:ascii="Verdana" w:hAnsi="Verdana" w:cs="Segoe UI"/>
          <w:lang w:val="es-PE" w:eastAsia="es-PE"/>
        </w:rPr>
        <w:t>Por su parte, en relación a la prueba de los daños el artículo 1331 del Código Civil señala lo siguiente: </w:t>
      </w:r>
    </w:p>
    <w:p w:rsidRPr="00F11D58" w:rsidR="00DF387E" w:rsidP="00514AA7" w:rsidRDefault="00DF387E" w14:paraId="51322ADF" w14:textId="77777777">
      <w:pPr>
        <w:widowControl/>
        <w:spacing w:line="276" w:lineRule="auto"/>
        <w:ind w:left="360" w:hanging="540"/>
        <w:jc w:val="both"/>
        <w:textAlignment w:val="baseline"/>
        <w:rPr>
          <w:rFonts w:ascii="Segoe UI" w:hAnsi="Segoe UI" w:cs="Segoe UI"/>
          <w:sz w:val="18"/>
          <w:szCs w:val="18"/>
          <w:lang w:val="es-PE" w:eastAsia="es-PE"/>
        </w:rPr>
      </w:pPr>
      <w:r w:rsidRPr="00F11D58">
        <w:rPr>
          <w:rFonts w:ascii="Verdana" w:hAnsi="Verdana" w:cs="Segoe UI"/>
          <w:lang w:val="es-PE" w:eastAsia="es-PE"/>
        </w:rPr>
        <w:t> </w:t>
      </w:r>
    </w:p>
    <w:p w:rsidRPr="00F11D58" w:rsidR="00DF387E" w:rsidP="00514AA7" w:rsidRDefault="00DF387E" w14:paraId="0CA37D7D" w14:textId="77777777">
      <w:pPr>
        <w:widowControl/>
        <w:spacing w:line="276" w:lineRule="auto"/>
        <w:ind w:left="1123"/>
        <w:jc w:val="both"/>
        <w:textAlignment w:val="baseline"/>
        <w:rPr>
          <w:rFonts w:ascii="Verdana" w:hAnsi="Verdana" w:cs="Segoe UI"/>
          <w:lang w:val="es-PE" w:eastAsia="es-PE"/>
        </w:rPr>
      </w:pPr>
      <w:r w:rsidRPr="00F11D58">
        <w:rPr>
          <w:rFonts w:ascii="Verdana" w:hAnsi="Verdana" w:cs="Segoe UI"/>
          <w:lang w:val="es-PE" w:eastAsia="es-PE"/>
        </w:rPr>
        <w:t>“Artículo 1331.- La prueba de los daños y perjuicios y de su cuantía también corresponde al perjudicado por la inejecución de la obligación o por su cumplimiento parcial, tardío o defectuoso.”  </w:t>
      </w:r>
    </w:p>
    <w:p w:rsidRPr="00F11D58" w:rsidR="00DF387E" w:rsidP="00514AA7" w:rsidRDefault="00DF387E" w14:paraId="7711DB08" w14:textId="77777777">
      <w:pPr>
        <w:widowControl/>
        <w:spacing w:line="276" w:lineRule="auto"/>
        <w:ind w:left="1123"/>
        <w:jc w:val="both"/>
        <w:textAlignment w:val="baseline"/>
        <w:rPr>
          <w:rFonts w:ascii="Verdana" w:hAnsi="Verdana" w:cs="Segoe UI"/>
          <w:lang w:val="es-PE" w:eastAsia="es-PE"/>
        </w:rPr>
      </w:pPr>
      <w:r w:rsidRPr="00F11D58">
        <w:rPr>
          <w:rFonts w:ascii="Verdana" w:hAnsi="Verdana" w:cs="Segoe UI"/>
          <w:lang w:val="es-PE" w:eastAsia="es-PE"/>
        </w:rPr>
        <w:t>-El subrayado es nuestro- </w:t>
      </w:r>
    </w:p>
    <w:p w:rsidRPr="00B8648F" w:rsidR="00DF387E" w:rsidP="00514AA7" w:rsidRDefault="00DF387E" w14:paraId="030CABB6" w14:textId="77777777">
      <w:pPr>
        <w:tabs>
          <w:tab w:val="left" w:pos="900"/>
        </w:tabs>
        <w:spacing w:line="276" w:lineRule="auto"/>
        <w:jc w:val="both"/>
        <w:rPr>
          <w:rFonts w:ascii="Verdana" w:hAnsi="Verdana"/>
          <w:lang w:val="es-PE"/>
        </w:rPr>
      </w:pPr>
    </w:p>
    <w:p w:rsidRPr="00B8648F" w:rsidR="00DF387E" w:rsidP="00514AA7" w:rsidRDefault="00DF387E" w14:paraId="18240484" w14:textId="77777777">
      <w:pPr>
        <w:tabs>
          <w:tab w:val="left" w:pos="360"/>
        </w:tabs>
        <w:spacing w:line="276" w:lineRule="auto"/>
        <w:ind w:left="567"/>
        <w:jc w:val="both"/>
        <w:rPr>
          <w:rFonts w:ascii="Verdana" w:hAnsi="Verdana" w:cs="Arial"/>
          <w:iCs/>
          <w:spacing w:val="-2"/>
          <w:lang w:val="es-PE"/>
        </w:rPr>
      </w:pPr>
      <w:r w:rsidRPr="00B8648F">
        <w:rPr>
          <w:rFonts w:ascii="Verdana" w:hAnsi="Verdana" w:cs="Arial"/>
          <w:iCs/>
          <w:spacing w:val="-2"/>
          <w:lang w:val="es-PE"/>
        </w:rPr>
        <w:t>Lo establecido en el Código Civil concuerda con lo dispuesto en el artículo 196 del Código Procesal Civil, que establece que la carga de la prueba le corresponde a quien afirma los hechos que configuran su pretensión o a quien los contradice alegando nuevos hechos:</w:t>
      </w:r>
      <w:r w:rsidRPr="00B8648F">
        <w:rPr>
          <w:rFonts w:ascii="Verdana" w:hAnsi="Verdana" w:cs="Arial"/>
          <w:iCs/>
          <w:spacing w:val="-2"/>
          <w:lang w:val="es-PE"/>
        </w:rPr>
        <w:tab/>
      </w:r>
    </w:p>
    <w:p w:rsidRPr="00B8648F" w:rsidR="00DF387E" w:rsidP="00514AA7" w:rsidRDefault="00DF387E" w14:paraId="38CDF38E" w14:textId="77777777">
      <w:pPr>
        <w:tabs>
          <w:tab w:val="left" w:pos="360"/>
        </w:tabs>
        <w:spacing w:line="276" w:lineRule="auto"/>
        <w:ind w:left="360" w:hanging="540"/>
        <w:jc w:val="both"/>
        <w:rPr>
          <w:rFonts w:ascii="Verdana" w:hAnsi="Verdana" w:cs="Arial"/>
          <w:iCs/>
          <w:spacing w:val="-2"/>
          <w:lang w:val="es-PE"/>
        </w:rPr>
      </w:pPr>
    </w:p>
    <w:p w:rsidRPr="00B8648F" w:rsidR="00DF387E" w:rsidP="00514AA7" w:rsidRDefault="00DF387E" w14:paraId="50055086" w14:textId="77777777">
      <w:pPr>
        <w:tabs>
          <w:tab w:val="left" w:pos="900"/>
        </w:tabs>
        <w:spacing w:line="276" w:lineRule="auto"/>
        <w:ind w:left="1134"/>
        <w:jc w:val="both"/>
        <w:rPr>
          <w:rFonts w:ascii="Verdana" w:hAnsi="Verdana" w:cs="Arial"/>
          <w:i/>
          <w:iCs/>
          <w:spacing w:val="-2"/>
          <w:lang w:val="es-PE"/>
        </w:rPr>
      </w:pPr>
      <w:r w:rsidRPr="00B8648F">
        <w:rPr>
          <w:rFonts w:ascii="Verdana" w:hAnsi="Verdana" w:cs="Arial"/>
          <w:i/>
          <w:iCs/>
          <w:spacing w:val="-2"/>
          <w:lang w:val="es-PE"/>
        </w:rPr>
        <w:lastRenderedPageBreak/>
        <w:t xml:space="preserve">“Artículo 196.- </w:t>
      </w:r>
      <w:r w:rsidRPr="00B8648F">
        <w:rPr>
          <w:rFonts w:ascii="Verdana" w:hAnsi="Verdana" w:cs="Arial"/>
          <w:i/>
          <w:iCs/>
          <w:spacing w:val="-2"/>
          <w:u w:val="single"/>
          <w:lang w:val="es-PE"/>
        </w:rPr>
        <w:t>Salvo disposición legal diferente, la carga de probar corresponde a quien afirma hechos que configuran su pretensión o a quien los contradice alegando nuevos hechos</w:t>
      </w:r>
      <w:r w:rsidRPr="00B8648F">
        <w:rPr>
          <w:rFonts w:ascii="Verdana" w:hAnsi="Verdana" w:cs="Arial"/>
          <w:i/>
          <w:iCs/>
          <w:spacing w:val="-2"/>
          <w:lang w:val="es-PE"/>
        </w:rPr>
        <w:t>”.</w:t>
      </w:r>
    </w:p>
    <w:p w:rsidRPr="00B8648F" w:rsidR="00DF387E" w:rsidP="00514AA7" w:rsidRDefault="00DF387E" w14:paraId="76EEF885" w14:textId="77777777">
      <w:pPr>
        <w:tabs>
          <w:tab w:val="left" w:pos="900"/>
        </w:tabs>
        <w:spacing w:line="276" w:lineRule="auto"/>
        <w:ind w:left="567"/>
        <w:jc w:val="both"/>
        <w:rPr>
          <w:rFonts w:ascii="Verdana" w:hAnsi="Verdana" w:cstheme="minorHAnsi"/>
          <w:iCs/>
          <w:spacing w:val="-2"/>
        </w:rPr>
      </w:pPr>
    </w:p>
    <w:p w:rsidR="00DF387E" w:rsidP="00514AA7" w:rsidRDefault="00DF387E" w14:paraId="48C11056" w14:textId="17F24370">
      <w:pPr>
        <w:tabs>
          <w:tab w:val="left" w:pos="900"/>
        </w:tabs>
        <w:spacing w:line="276" w:lineRule="auto"/>
        <w:ind w:left="567"/>
        <w:jc w:val="both"/>
        <w:rPr>
          <w:rFonts w:ascii="Verdana" w:hAnsi="Verdana"/>
          <w:lang w:val="es-PE"/>
        </w:rPr>
      </w:pPr>
      <w:r w:rsidRPr="00B8648F">
        <w:rPr>
          <w:rFonts w:ascii="Verdana" w:hAnsi="Verdana" w:cs="Arial"/>
          <w:iCs/>
          <w:spacing w:val="-2"/>
          <w:lang w:val="es-PE"/>
        </w:rPr>
        <w:t xml:space="preserve">Así las cosas, uno de los requisitos exigibles para que APMTC deba responder por </w:t>
      </w:r>
      <w:r w:rsidRPr="00B8648F">
        <w:rPr>
          <w:rFonts w:ascii="Verdana" w:hAnsi="Verdana" w:cs="Arial"/>
          <w:lang w:val="es-MX"/>
        </w:rPr>
        <w:t xml:space="preserve">los </w:t>
      </w:r>
      <w:r w:rsidR="00802A85">
        <w:rPr>
          <w:rFonts w:ascii="Verdana" w:hAnsi="Verdana" w:cs="Arial"/>
          <w:lang w:val="es-MX"/>
        </w:rPr>
        <w:t>daños</w:t>
      </w:r>
      <w:r w:rsidRPr="00B8648F">
        <w:rPr>
          <w:rFonts w:ascii="Verdana" w:hAnsi="Verdana" w:cs="Arial"/>
          <w:iCs/>
          <w:spacing w:val="-2"/>
          <w:lang w:val="es-PE"/>
        </w:rPr>
        <w:t xml:space="preserve"> alegados por la Reclamante es que ésta, necesariamente, cumpla con acreditar la existencia </w:t>
      </w:r>
      <w:r w:rsidRPr="00B8648F">
        <w:rPr>
          <w:rFonts w:ascii="Verdana" w:hAnsi="Verdana" w:cs="Arial"/>
          <w:lang w:val="es-MX"/>
        </w:rPr>
        <w:t xml:space="preserve">del evento dañoso </w:t>
      </w:r>
      <w:r w:rsidRPr="00B8648F">
        <w:rPr>
          <w:rFonts w:ascii="Verdana" w:hAnsi="Verdana" w:cs="Arial"/>
          <w:iCs/>
          <w:spacing w:val="-2"/>
          <w:lang w:val="es-PE"/>
        </w:rPr>
        <w:t>y que el mismo se originó a consecuencia del incumplimiento de una obligación de APMTC o de su cumplimiento parcial, tardío o defectuoso.</w:t>
      </w:r>
    </w:p>
    <w:p w:rsidRPr="000A57C4" w:rsidR="00B706D8" w:rsidP="00514AA7" w:rsidRDefault="00B706D8" w14:paraId="2FB01E8F" w14:textId="193C1ECE">
      <w:pPr>
        <w:tabs>
          <w:tab w:val="left" w:pos="900"/>
        </w:tabs>
        <w:spacing w:line="276" w:lineRule="auto"/>
        <w:jc w:val="both"/>
        <w:rPr>
          <w:rFonts w:ascii="Verdana" w:hAnsi="Verdana"/>
          <w:b/>
          <w:bCs/>
          <w:highlight w:val="yellow"/>
          <w:lang w:val="es-PE"/>
        </w:rPr>
      </w:pPr>
    </w:p>
    <w:p w:rsidR="000A57C4" w:rsidP="00514AA7" w:rsidRDefault="000A57C4" w14:paraId="1779EA61" w14:textId="5BDED3BB">
      <w:pPr>
        <w:pStyle w:val="ListParagraph"/>
        <w:numPr>
          <w:ilvl w:val="1"/>
          <w:numId w:val="1"/>
        </w:numPr>
        <w:spacing w:line="276" w:lineRule="auto"/>
        <w:ind w:left="567" w:hanging="567"/>
        <w:jc w:val="both"/>
        <w:rPr>
          <w:rFonts w:ascii="Verdana" w:hAnsi="Verdana"/>
          <w:b/>
          <w:bCs/>
        </w:rPr>
      </w:pPr>
      <w:r w:rsidRPr="000A57C4">
        <w:rPr>
          <w:rFonts w:ascii="Verdana" w:hAnsi="Verdana"/>
          <w:b/>
          <w:bCs/>
        </w:rPr>
        <w:t>Respecto a los medios probatorios ofrecidos por la Reclamante.</w:t>
      </w:r>
    </w:p>
    <w:p w:rsidR="000A57C4" w:rsidP="00514AA7" w:rsidRDefault="000A57C4" w14:paraId="0E6D856D" w14:textId="151182D7">
      <w:pPr>
        <w:pStyle w:val="ListParagraph"/>
        <w:spacing w:line="276" w:lineRule="auto"/>
        <w:ind w:left="567"/>
        <w:jc w:val="both"/>
        <w:rPr>
          <w:rFonts w:ascii="Verdana" w:hAnsi="Verdana"/>
          <w:b/>
          <w:bCs/>
        </w:rPr>
      </w:pPr>
    </w:p>
    <w:p w:rsidR="000A57C4" w:rsidP="00514AA7" w:rsidRDefault="000A57C4" w14:paraId="5BD537DD" w14:textId="2DF71B9C">
      <w:pPr>
        <w:pStyle w:val="ListParagraph"/>
        <w:spacing w:line="276" w:lineRule="auto"/>
        <w:ind w:left="567"/>
        <w:jc w:val="both"/>
        <w:rPr>
          <w:rFonts w:ascii="Verdana" w:hAnsi="Verdana"/>
        </w:rPr>
      </w:pPr>
      <w:r w:rsidRPr="000A57C4">
        <w:rPr>
          <w:rFonts w:ascii="Verdana" w:hAnsi="Verdana"/>
        </w:rPr>
        <w:t>AGUNSA</w:t>
      </w:r>
      <w:r>
        <w:rPr>
          <w:rFonts w:ascii="Verdana" w:hAnsi="Verdana"/>
        </w:rPr>
        <w:t xml:space="preserve"> a fin de acreditar la presunta responsabilidad de la Entidad Prestadora en los presuntos daños, adjunto los siguientes documentos: (i) vistas fotográficas, (ii) reporte de daño emitido por el primer oficial de la nave </w:t>
      </w:r>
      <w:r w:rsidR="00802A85">
        <w:rPr>
          <w:rFonts w:ascii="Verdana" w:hAnsi="Verdana"/>
        </w:rPr>
        <w:t>VIKING DRIVE</w:t>
      </w:r>
      <w:r>
        <w:rPr>
          <w:rFonts w:ascii="Verdana" w:hAnsi="Verdana"/>
        </w:rPr>
        <w:t>, y (iii) correos electrónicos. Para buen entender procederemos analizar cada uno de los medios probatorios de la Reclamante.</w:t>
      </w:r>
    </w:p>
    <w:p w:rsidR="000A57C4" w:rsidP="00514AA7" w:rsidRDefault="000A57C4" w14:paraId="73E899C0" w14:textId="4C58D89D">
      <w:pPr>
        <w:pStyle w:val="ListParagraph"/>
        <w:spacing w:line="276" w:lineRule="auto"/>
        <w:ind w:left="567"/>
        <w:jc w:val="both"/>
        <w:rPr>
          <w:rFonts w:ascii="Verdana" w:hAnsi="Verdana"/>
        </w:rPr>
      </w:pPr>
    </w:p>
    <w:p w:rsidRPr="004B28C4" w:rsidR="000A57C4" w:rsidP="00514AA7" w:rsidRDefault="004B28C4" w14:paraId="077AE40B" w14:textId="68A184CD">
      <w:pPr>
        <w:pStyle w:val="ListParagraph"/>
        <w:spacing w:line="276" w:lineRule="auto"/>
        <w:ind w:left="567"/>
        <w:jc w:val="both"/>
        <w:rPr>
          <w:rFonts w:ascii="Verdana" w:hAnsi="Verdana"/>
          <w:b/>
          <w:bCs/>
        </w:rPr>
      </w:pPr>
      <w:r w:rsidRPr="004B28C4">
        <w:rPr>
          <w:rFonts w:ascii="Verdana" w:hAnsi="Verdana"/>
          <w:b/>
          <w:bCs/>
        </w:rPr>
        <w:t>2.2.1 Respecto a las vistas fotográficas.</w:t>
      </w:r>
    </w:p>
    <w:p w:rsidR="004B28C4" w:rsidP="00514AA7" w:rsidRDefault="004B28C4" w14:paraId="1770936D" w14:textId="54D4861A">
      <w:pPr>
        <w:pStyle w:val="ListParagraph"/>
        <w:spacing w:line="276" w:lineRule="auto"/>
        <w:ind w:left="567"/>
        <w:jc w:val="both"/>
        <w:rPr>
          <w:rFonts w:ascii="Verdana" w:hAnsi="Verdana"/>
        </w:rPr>
      </w:pPr>
    </w:p>
    <w:p w:rsidRPr="002B4090" w:rsidR="004B28C4" w:rsidP="00514AA7" w:rsidRDefault="004B28C4" w14:paraId="14E0050E" w14:textId="61D33E06">
      <w:pPr>
        <w:pStyle w:val="ListParagraph"/>
        <w:widowControl/>
        <w:spacing w:line="276" w:lineRule="auto"/>
        <w:ind w:left="567"/>
        <w:jc w:val="both"/>
        <w:rPr>
          <w:rFonts w:ascii="Verdana" w:hAnsi="Verdana" w:eastAsiaTheme="minorHAnsi"/>
          <w:bCs/>
          <w:lang w:val="es-PE"/>
        </w:rPr>
      </w:pPr>
      <w:r w:rsidRPr="002B4090">
        <w:rPr>
          <w:rFonts w:ascii="Verdana" w:hAnsi="Verdana" w:eastAsiaTheme="minorHAnsi"/>
          <w:bCs/>
          <w:lang w:val="es-PE"/>
        </w:rPr>
        <w:t>En relación al presente medio probatorio es importante señalar que no se identifican que estén relacionados a la mercadería materia de reclamo, no se observa fecha y hora que fueron tomadas, ni mucho menos se puede identificar si estas vistas fueron tomadas durante la estadía de la carga en el TNM</w:t>
      </w:r>
      <w:r>
        <w:rPr>
          <w:rFonts w:ascii="Verdana" w:hAnsi="Verdana" w:eastAsiaTheme="minorHAnsi"/>
          <w:bCs/>
          <w:lang w:val="es-PE"/>
        </w:rPr>
        <w:t>, o que hubiesen ocurrido durante las operaciones de la Entidad Prestadora dentro de la nave</w:t>
      </w:r>
      <w:r w:rsidRPr="002B4090">
        <w:rPr>
          <w:rFonts w:ascii="Verdana" w:hAnsi="Verdana" w:eastAsiaTheme="minorHAnsi"/>
          <w:bCs/>
          <w:lang w:val="es-PE"/>
        </w:rPr>
        <w:t>.</w:t>
      </w:r>
    </w:p>
    <w:p w:rsidRPr="002B4090" w:rsidR="004B28C4" w:rsidP="00514AA7" w:rsidRDefault="004B28C4" w14:paraId="712E9AB6" w14:textId="77777777">
      <w:pPr>
        <w:pStyle w:val="ListParagraph"/>
        <w:widowControl/>
        <w:spacing w:line="276" w:lineRule="auto"/>
        <w:ind w:left="567"/>
        <w:jc w:val="both"/>
        <w:rPr>
          <w:rFonts w:ascii="Verdana" w:hAnsi="Verdana" w:eastAsiaTheme="minorHAnsi"/>
          <w:bCs/>
          <w:lang w:val="es-PE"/>
        </w:rPr>
      </w:pPr>
    </w:p>
    <w:p w:rsidRPr="002B4090" w:rsidR="004B28C4" w:rsidP="00514AA7" w:rsidRDefault="004B28C4" w14:paraId="23F233E7" w14:textId="77777777">
      <w:pPr>
        <w:pStyle w:val="ListParagraph"/>
        <w:widowControl/>
        <w:spacing w:line="276" w:lineRule="auto"/>
        <w:ind w:left="567"/>
        <w:jc w:val="both"/>
        <w:rPr>
          <w:rFonts w:ascii="Verdana" w:hAnsi="Verdana" w:eastAsiaTheme="minorHAnsi"/>
          <w:bCs/>
          <w:lang w:val="es-PE"/>
        </w:rPr>
      </w:pPr>
      <w:r w:rsidRPr="002B4090">
        <w:rPr>
          <w:rFonts w:ascii="Verdana" w:hAnsi="Verdana" w:eastAsiaTheme="minorHAnsi"/>
          <w:bCs/>
          <w:lang w:val="es-PE"/>
        </w:rPr>
        <w:t xml:space="preserve">Cabe mencionar que </w:t>
      </w:r>
      <w:r w:rsidRPr="002B4090">
        <w:rPr>
          <w:rStyle w:val="normaltextrun"/>
          <w:rFonts w:ascii="Verdana" w:hAnsi="Verdana" w:cs="Segoe UI"/>
          <w:bCs/>
          <w:lang w:val="es-ES"/>
        </w:rPr>
        <w:t>el TSC de OSITRAN se ha pronunciado mediante la Resolución Final correspondiente al Expediente No. 182-2015-TSC-OSITRAN en el considerando 29 de la siguiente manera:</w:t>
      </w:r>
    </w:p>
    <w:p w:rsidRPr="002B4090" w:rsidR="004B28C4" w:rsidP="00514AA7" w:rsidRDefault="004B28C4" w14:paraId="1DBDDB18" w14:textId="77777777">
      <w:pPr>
        <w:widowControl/>
        <w:spacing w:line="276" w:lineRule="auto"/>
        <w:jc w:val="both"/>
        <w:rPr>
          <w:rFonts w:ascii="Verdana" w:hAnsi="Verdana" w:eastAsiaTheme="minorHAnsi"/>
          <w:b/>
          <w:lang w:val="es-PE"/>
        </w:rPr>
      </w:pPr>
    </w:p>
    <w:p w:rsidRPr="002B4090" w:rsidR="004B28C4" w:rsidP="00514AA7" w:rsidRDefault="004B28C4" w14:paraId="178AE7B6" w14:textId="77777777">
      <w:pPr>
        <w:pStyle w:val="ListParagraph"/>
        <w:widowControl/>
        <w:spacing w:line="276" w:lineRule="auto"/>
        <w:ind w:left="1134"/>
        <w:jc w:val="both"/>
        <w:rPr>
          <w:rFonts w:ascii="Verdana" w:hAnsi="Verdana" w:eastAsiaTheme="minorHAnsi"/>
          <w:bCs/>
          <w:i/>
          <w:iCs/>
          <w:lang w:val="es-PE"/>
        </w:rPr>
      </w:pPr>
      <w:r>
        <w:rPr>
          <w:rFonts w:ascii="Verdana" w:hAnsi="Verdana" w:eastAsiaTheme="minorHAnsi"/>
          <w:bCs/>
          <w:i/>
          <w:iCs/>
          <w:lang w:val="es-PE"/>
        </w:rPr>
        <w:t>“</w:t>
      </w:r>
      <w:r w:rsidRPr="002B4090">
        <w:rPr>
          <w:rFonts w:ascii="Verdana" w:hAnsi="Verdana" w:eastAsiaTheme="minorHAnsi"/>
          <w:bCs/>
          <w:i/>
          <w:iCs/>
          <w:lang w:val="es-PE"/>
        </w:rPr>
        <w:t>29.- En cuanto a las fotografías presentadas por GM, cabe señalar que aquellas no permiten determinar que los presuntos daños a los vehículos que se muestran en ellas hayan sido provocados durante su estancia en el Terminal Portuario y/o que estén relacionadas con las unidades materia de reclamo</w:t>
      </w:r>
      <w:r>
        <w:rPr>
          <w:rFonts w:ascii="Verdana" w:hAnsi="Verdana" w:eastAsiaTheme="minorHAnsi"/>
          <w:bCs/>
          <w:i/>
          <w:iCs/>
          <w:lang w:val="es-PE"/>
        </w:rPr>
        <w:t>”</w:t>
      </w:r>
      <w:r w:rsidRPr="002B4090">
        <w:rPr>
          <w:rFonts w:ascii="Verdana" w:hAnsi="Verdana" w:eastAsiaTheme="minorHAnsi"/>
          <w:bCs/>
          <w:i/>
          <w:iCs/>
          <w:lang w:val="es-PE"/>
        </w:rPr>
        <w:t>.</w:t>
      </w:r>
    </w:p>
    <w:p w:rsidRPr="002B4090" w:rsidR="004B28C4" w:rsidP="00514AA7" w:rsidRDefault="004B28C4" w14:paraId="46E7E93D" w14:textId="77777777">
      <w:pPr>
        <w:pStyle w:val="paragraph"/>
        <w:spacing w:before="0" w:beforeAutospacing="0" w:after="0" w:afterAutospacing="0" w:line="276" w:lineRule="auto"/>
        <w:ind w:left="2907"/>
        <w:jc w:val="both"/>
        <w:textAlignment w:val="baseline"/>
        <w:rPr>
          <w:rStyle w:val="normaltextrun"/>
          <w:rFonts w:ascii="Verdana" w:hAnsi="Verdana" w:cs="Segoe UI"/>
          <w:sz w:val="20"/>
          <w:szCs w:val="20"/>
          <w:lang w:val="es-PE" w:eastAsia="es-ES"/>
        </w:rPr>
      </w:pPr>
    </w:p>
    <w:p w:rsidR="004B28C4" w:rsidP="00514AA7" w:rsidRDefault="004B28C4" w14:paraId="49EBA4DF" w14:textId="77777777">
      <w:pPr>
        <w:pStyle w:val="paragraph"/>
        <w:spacing w:before="0" w:beforeAutospacing="0" w:after="0" w:afterAutospacing="0" w:line="276" w:lineRule="auto"/>
        <w:ind w:left="567" w:right="-15"/>
        <w:jc w:val="both"/>
        <w:textAlignment w:val="baseline"/>
        <w:rPr>
          <w:rStyle w:val="eop"/>
          <w:rFonts w:ascii="Verdana" w:hAnsi="Verdana" w:cs="Segoe UI"/>
          <w:lang w:val="es-PE"/>
        </w:rPr>
      </w:pPr>
      <w:r w:rsidRPr="00BB0727">
        <w:rPr>
          <w:rStyle w:val="normaltextrun"/>
          <w:rFonts w:ascii="Verdana" w:hAnsi="Verdana" w:cs="Segoe UI"/>
          <w:sz w:val="20"/>
          <w:szCs w:val="20"/>
          <w:lang w:val="es-PE"/>
        </w:rPr>
        <w:t xml:space="preserve">Así las cosas, queda claro que </w:t>
      </w:r>
      <w:r>
        <w:rPr>
          <w:rStyle w:val="normaltextrun"/>
          <w:rFonts w:ascii="Verdana" w:hAnsi="Verdana" w:cs="Segoe UI"/>
          <w:sz w:val="20"/>
          <w:szCs w:val="20"/>
          <w:lang w:val="es-PE"/>
        </w:rPr>
        <w:t xml:space="preserve">las vistas fotográficas </w:t>
      </w:r>
      <w:r w:rsidRPr="00BB0727">
        <w:rPr>
          <w:rStyle w:val="normaltextrun"/>
          <w:rFonts w:ascii="Verdana" w:hAnsi="Verdana" w:cs="Segoe UI"/>
          <w:sz w:val="20"/>
          <w:szCs w:val="20"/>
          <w:lang w:val="es-PE"/>
        </w:rPr>
        <w:t>no prueba</w:t>
      </w:r>
      <w:r>
        <w:rPr>
          <w:rStyle w:val="normaltextrun"/>
          <w:rFonts w:ascii="Verdana" w:hAnsi="Verdana" w:cs="Segoe UI"/>
          <w:sz w:val="20"/>
          <w:szCs w:val="20"/>
          <w:lang w:val="es-PE"/>
        </w:rPr>
        <w:t>n</w:t>
      </w:r>
      <w:r w:rsidRPr="00BB0727">
        <w:rPr>
          <w:rStyle w:val="normaltextrun"/>
          <w:rFonts w:ascii="Verdana" w:hAnsi="Verdana" w:cs="Segoe UI"/>
          <w:sz w:val="20"/>
          <w:szCs w:val="20"/>
          <w:lang w:val="es-PE"/>
        </w:rPr>
        <w:t xml:space="preserve"> la existencia de daño</w:t>
      </w:r>
      <w:r>
        <w:rPr>
          <w:rStyle w:val="normaltextrun"/>
          <w:rFonts w:ascii="Verdana" w:hAnsi="Verdana" w:cs="Segoe UI"/>
          <w:sz w:val="20"/>
          <w:szCs w:val="20"/>
          <w:lang w:val="es-PE"/>
        </w:rPr>
        <w:t>s y faltantes</w:t>
      </w:r>
      <w:r w:rsidRPr="00BB0727">
        <w:rPr>
          <w:rStyle w:val="normaltextrun"/>
          <w:rFonts w:ascii="Verdana" w:hAnsi="Verdana" w:cs="Segoe UI"/>
          <w:sz w:val="20"/>
          <w:szCs w:val="20"/>
          <w:lang w:val="es-PE"/>
        </w:rPr>
        <w:t xml:space="preserve"> </w:t>
      </w:r>
      <w:r>
        <w:rPr>
          <w:rStyle w:val="normaltextrun"/>
          <w:rFonts w:ascii="Verdana" w:hAnsi="Verdana" w:cs="Segoe UI"/>
          <w:sz w:val="20"/>
          <w:szCs w:val="20"/>
          <w:lang w:val="es-PE"/>
        </w:rPr>
        <w:t xml:space="preserve">de mercadería </w:t>
      </w:r>
      <w:r w:rsidRPr="00BB0727">
        <w:rPr>
          <w:rStyle w:val="normaltextrun"/>
          <w:rFonts w:ascii="Verdana" w:hAnsi="Verdana" w:cs="Segoe UI"/>
          <w:sz w:val="20"/>
          <w:szCs w:val="20"/>
          <w:lang w:val="es-PE"/>
        </w:rPr>
        <w:t xml:space="preserve">alguno, y menos aún la supuesta responsabilidad de APMTC </w:t>
      </w:r>
      <w:r>
        <w:rPr>
          <w:rStyle w:val="normaltextrun"/>
          <w:rFonts w:ascii="Verdana" w:hAnsi="Verdana" w:cs="Segoe UI"/>
          <w:sz w:val="20"/>
          <w:szCs w:val="20"/>
          <w:lang w:val="es-PE"/>
        </w:rPr>
        <w:t xml:space="preserve">alegada por la Reclamante </w:t>
      </w:r>
      <w:r w:rsidRPr="00DD5B85">
        <w:rPr>
          <w:rStyle w:val="normaltextrun"/>
          <w:rFonts w:ascii="Verdana" w:hAnsi="Verdana" w:cs="Segoe UI"/>
          <w:sz w:val="20"/>
          <w:szCs w:val="20"/>
          <w:lang w:val="es-ES"/>
        </w:rPr>
        <w:t>durante la operación de descarga o durante su permanencia en el TNM.</w:t>
      </w:r>
      <w:r w:rsidRPr="00BB0727">
        <w:rPr>
          <w:rStyle w:val="eop"/>
          <w:rFonts w:ascii="Verdana" w:hAnsi="Verdana" w:cs="Segoe UI"/>
          <w:lang w:val="es-PE"/>
        </w:rPr>
        <w:t> </w:t>
      </w:r>
    </w:p>
    <w:p w:rsidR="004B28C4" w:rsidP="00514AA7" w:rsidRDefault="004B28C4" w14:paraId="7829748D" w14:textId="7FFF6749">
      <w:pPr>
        <w:pStyle w:val="ListParagraph"/>
        <w:spacing w:line="276" w:lineRule="auto"/>
        <w:ind w:left="567"/>
        <w:jc w:val="both"/>
        <w:rPr>
          <w:rFonts w:ascii="Verdana" w:hAnsi="Verdana"/>
          <w:lang w:val="es-PE"/>
        </w:rPr>
      </w:pPr>
    </w:p>
    <w:p w:rsidRPr="00210590" w:rsidR="004B28C4" w:rsidP="00514AA7" w:rsidRDefault="004B28C4" w14:paraId="042A4612" w14:textId="40E015D4">
      <w:pPr>
        <w:pStyle w:val="ListParagraph"/>
        <w:spacing w:line="276" w:lineRule="auto"/>
        <w:ind w:left="567"/>
        <w:jc w:val="both"/>
        <w:rPr>
          <w:rFonts w:ascii="Verdana" w:hAnsi="Verdana"/>
          <w:b/>
          <w:bCs/>
          <w:lang w:val="es-PE"/>
        </w:rPr>
      </w:pPr>
      <w:r w:rsidRPr="00210590">
        <w:rPr>
          <w:rFonts w:ascii="Verdana" w:hAnsi="Verdana"/>
          <w:b/>
          <w:bCs/>
          <w:lang w:val="es-PE"/>
        </w:rPr>
        <w:t xml:space="preserve">2.2.2 </w:t>
      </w:r>
      <w:r w:rsidRPr="00210590" w:rsidR="00210590">
        <w:rPr>
          <w:rFonts w:ascii="Verdana" w:hAnsi="Verdana"/>
          <w:b/>
          <w:bCs/>
          <w:lang w:val="es-PE"/>
        </w:rPr>
        <w:t>Respecto al reporte de daños.</w:t>
      </w:r>
    </w:p>
    <w:p w:rsidR="00210590" w:rsidP="00514AA7" w:rsidRDefault="00210590" w14:paraId="6FB24DF0" w14:textId="2664EDEB">
      <w:pPr>
        <w:pStyle w:val="ListParagraph"/>
        <w:spacing w:line="276" w:lineRule="auto"/>
        <w:ind w:left="567"/>
        <w:jc w:val="both"/>
        <w:rPr>
          <w:rFonts w:ascii="Verdana" w:hAnsi="Verdana"/>
          <w:lang w:val="es-PE"/>
        </w:rPr>
      </w:pPr>
    </w:p>
    <w:p w:rsidRPr="00210590" w:rsidR="00210590" w:rsidP="00514AA7" w:rsidRDefault="00210590" w14:paraId="604C6119" w14:textId="53EB49DC">
      <w:pPr>
        <w:pStyle w:val="ListParagraph"/>
        <w:spacing w:line="276" w:lineRule="auto"/>
        <w:ind w:left="567"/>
        <w:jc w:val="both"/>
        <w:rPr>
          <w:rFonts w:ascii="Verdana" w:hAnsi="Verdana"/>
          <w:lang w:val="es-PE"/>
        </w:rPr>
      </w:pPr>
      <w:r w:rsidRPr="00210590">
        <w:rPr>
          <w:rFonts w:ascii="Verdana" w:hAnsi="Verdana"/>
          <w:lang w:val="es-PE"/>
        </w:rPr>
        <w:t xml:space="preserve">En relación al </w:t>
      </w:r>
      <w:r w:rsidR="00802A85">
        <w:rPr>
          <w:rFonts w:ascii="Verdana" w:hAnsi="Verdana"/>
          <w:lang w:val="es-PE"/>
        </w:rPr>
        <w:t>Stevadore</w:t>
      </w:r>
      <w:r w:rsidRPr="00210590">
        <w:rPr>
          <w:rFonts w:ascii="Verdana" w:hAnsi="Verdana"/>
          <w:lang w:val="es-PE"/>
        </w:rPr>
        <w:t xml:space="preserve"> Damage</w:t>
      </w:r>
      <w:r>
        <w:rPr>
          <w:rFonts w:ascii="Verdana" w:hAnsi="Verdana"/>
          <w:lang w:val="es-PE"/>
        </w:rPr>
        <w:t xml:space="preserve"> Report</w:t>
      </w:r>
      <w:r w:rsidRPr="00210590">
        <w:rPr>
          <w:rFonts w:ascii="Verdana" w:hAnsi="Verdana"/>
          <w:lang w:val="es-PE"/>
        </w:rPr>
        <w:t xml:space="preserve">, señalamos que fue suscrito en señal de </w:t>
      </w:r>
      <w:r w:rsidRPr="00210590">
        <w:rPr>
          <w:rFonts w:ascii="Verdana" w:hAnsi="Verdana"/>
          <w:lang w:val="es-PE"/>
        </w:rPr>
        <w:lastRenderedPageBreak/>
        <w:t xml:space="preserve">recepción y no de conformidad por el personal de APMTC el </w:t>
      </w:r>
      <w:r>
        <w:rPr>
          <w:rFonts w:ascii="Verdana" w:hAnsi="Verdana"/>
          <w:lang w:val="es-PE"/>
        </w:rPr>
        <w:t xml:space="preserve">día </w:t>
      </w:r>
      <w:r w:rsidR="00802A85">
        <w:rPr>
          <w:rFonts w:ascii="Verdana" w:hAnsi="Verdana"/>
          <w:lang w:val="es-PE"/>
        </w:rPr>
        <w:t>20.12</w:t>
      </w:r>
      <w:r>
        <w:rPr>
          <w:rFonts w:ascii="Verdana" w:hAnsi="Verdana"/>
          <w:lang w:val="es-PE"/>
        </w:rPr>
        <w:t>.2022</w:t>
      </w:r>
      <w:r w:rsidRPr="00210590">
        <w:rPr>
          <w:rFonts w:ascii="Verdana" w:hAnsi="Verdana"/>
          <w:lang w:val="es-PE"/>
        </w:rPr>
        <w:t>. Tal como se puede apreciar, el sello rojo indica lo siguiente: "Sin prejuzgamiento ni admisión alguna en cuanto a responsabilidad, daños u otro, y para efectos de recepción únicamente".</w:t>
      </w:r>
    </w:p>
    <w:p w:rsidRPr="00210590" w:rsidR="00210590" w:rsidP="00514AA7" w:rsidRDefault="00210590" w14:paraId="6D35D9F7" w14:textId="77777777">
      <w:pPr>
        <w:pStyle w:val="ListParagraph"/>
        <w:spacing w:line="276" w:lineRule="auto"/>
        <w:ind w:left="567"/>
        <w:jc w:val="both"/>
        <w:rPr>
          <w:rFonts w:ascii="Verdana" w:hAnsi="Verdana"/>
          <w:lang w:val="es-PE"/>
        </w:rPr>
      </w:pPr>
    </w:p>
    <w:p w:rsidRPr="00210590" w:rsidR="00210590" w:rsidP="00514AA7" w:rsidRDefault="00210590" w14:paraId="45F7C96C" w14:textId="77777777">
      <w:pPr>
        <w:pStyle w:val="ListParagraph"/>
        <w:spacing w:line="276" w:lineRule="auto"/>
        <w:ind w:left="567"/>
        <w:jc w:val="both"/>
        <w:rPr>
          <w:rFonts w:ascii="Verdana" w:hAnsi="Verdana"/>
          <w:lang w:val="es-PE"/>
        </w:rPr>
      </w:pPr>
      <w:r w:rsidRPr="00210590">
        <w:rPr>
          <w:rFonts w:ascii="Verdana" w:hAnsi="Verdana"/>
          <w:lang w:val="es-PE"/>
        </w:rPr>
        <w:t>Al respecto, el Tribunal de Solución de Controversias de OSITRAN (“TSC”) se ha manifestado en la Resolución Final No. 329-2015 y 109-2015-TSC-OSITRAN, señalando lo siguiente:</w:t>
      </w:r>
    </w:p>
    <w:p w:rsidRPr="00210590" w:rsidR="00210590" w:rsidP="00514AA7" w:rsidRDefault="00210590" w14:paraId="4DF71544" w14:textId="77777777">
      <w:pPr>
        <w:pStyle w:val="ListParagraph"/>
        <w:spacing w:line="276" w:lineRule="auto"/>
        <w:ind w:left="1418"/>
        <w:jc w:val="both"/>
        <w:rPr>
          <w:rFonts w:ascii="Verdana" w:hAnsi="Verdana"/>
          <w:lang w:val="es-PE"/>
        </w:rPr>
      </w:pPr>
    </w:p>
    <w:p w:rsidRPr="00210590" w:rsidR="00210590" w:rsidP="00514AA7" w:rsidRDefault="00210590" w14:paraId="1AF7B429" w14:textId="77777777">
      <w:pPr>
        <w:pStyle w:val="ListParagraph"/>
        <w:spacing w:line="276" w:lineRule="auto"/>
        <w:ind w:left="1134"/>
        <w:jc w:val="both"/>
        <w:rPr>
          <w:rFonts w:ascii="Verdana" w:hAnsi="Verdana"/>
          <w:i/>
          <w:iCs/>
          <w:lang w:val="es-PE"/>
        </w:rPr>
      </w:pPr>
      <w:r w:rsidRPr="00210590">
        <w:rPr>
          <w:rFonts w:ascii="Verdana" w:hAnsi="Verdana"/>
          <w:i/>
          <w:iCs/>
          <w:lang w:val="es-PE"/>
        </w:rPr>
        <w:t>“(…)</w:t>
      </w:r>
    </w:p>
    <w:p w:rsidRPr="00210590" w:rsidR="00210590" w:rsidP="00514AA7" w:rsidRDefault="00210590" w14:paraId="2BC7564C" w14:textId="4BA2073E">
      <w:pPr>
        <w:pStyle w:val="ListParagraph"/>
        <w:spacing w:line="276" w:lineRule="auto"/>
        <w:ind w:left="1134"/>
        <w:jc w:val="both"/>
        <w:rPr>
          <w:rFonts w:ascii="Verdana" w:hAnsi="Verdana"/>
          <w:i/>
          <w:iCs/>
          <w:lang w:val="es-PE"/>
        </w:rPr>
      </w:pPr>
      <w:r w:rsidRPr="00210590">
        <w:rPr>
          <w:rFonts w:ascii="Verdana" w:hAnsi="Verdana"/>
          <w:i/>
          <w:iCs/>
          <w:lang w:val="es-PE"/>
        </w:rPr>
        <w:t>27.Como se aprecia, en el documento "Stevedore Damage Report", el Capitán de la nave indicó que, durante las operaciones de estiba, dos instrumentos de la nave Hyundai Earth, consistentes en un tensor y una barra de caña corta, sufrieron daños   constando un sello de recepción de APM, cuyo texto señala lo siguiente:  "Sin prejuzgamiento ni admisión alguna en cuanto a responsabilidad.  daños u otro, y para efectos de recepción únicamente".</w:t>
      </w:r>
    </w:p>
    <w:p w:rsidRPr="00210590" w:rsidR="00210590" w:rsidP="00514AA7" w:rsidRDefault="00210590" w14:paraId="19466D71" w14:textId="3A955393">
      <w:pPr>
        <w:pStyle w:val="ListParagraph"/>
        <w:spacing w:line="276" w:lineRule="auto"/>
        <w:ind w:left="1134"/>
        <w:jc w:val="both"/>
        <w:rPr>
          <w:rFonts w:ascii="Verdana" w:hAnsi="Verdana"/>
          <w:i/>
          <w:iCs/>
          <w:lang w:val="es-PE"/>
        </w:rPr>
      </w:pPr>
      <w:r w:rsidRPr="00210590">
        <w:rPr>
          <w:rFonts w:ascii="Verdana" w:hAnsi="Verdana"/>
          <w:i/>
          <w:iCs/>
          <w:lang w:val="es-PE"/>
        </w:rPr>
        <w:t>28.Sobre el particular, cabe señalar que, si bien en dicho documento se consignó la existencia de daños, constando el sello y firma de personal de APM estos fueron colocados únicamente en señal de recepción de dicho documento tal y como se observa del texto antes referido.</w:t>
      </w:r>
    </w:p>
    <w:p w:rsidRPr="00210590" w:rsidR="00210590" w:rsidP="00514AA7" w:rsidRDefault="00210590" w14:paraId="3DE134A2" w14:textId="0DB3F3F0">
      <w:pPr>
        <w:pStyle w:val="ListParagraph"/>
        <w:spacing w:line="276" w:lineRule="auto"/>
        <w:ind w:left="1134"/>
        <w:jc w:val="both"/>
        <w:rPr>
          <w:rFonts w:ascii="Verdana" w:hAnsi="Verdana"/>
          <w:i/>
          <w:iCs/>
          <w:lang w:val="es-PE"/>
        </w:rPr>
      </w:pPr>
      <w:r w:rsidRPr="00210590">
        <w:rPr>
          <w:rFonts w:ascii="Verdana" w:hAnsi="Verdana"/>
          <w:i/>
          <w:iCs/>
          <w:lang w:val="es-PE"/>
        </w:rPr>
        <w:t>29.Asimismo, si bien las fotografías adjuntadas por OCÉANO mostrarían daños en un tensor y una barra de caña corta de una nave dichos documentos no acreditan fehacientemente que los daños que se aprecian en estos hubieran sido ocasionados por personal de APM durante la prestación de sus servicios.</w:t>
      </w:r>
    </w:p>
    <w:p w:rsidRPr="00210590" w:rsidR="00210590" w:rsidP="00514AA7" w:rsidRDefault="00210590" w14:paraId="03AD079E" w14:textId="57BA2CFD">
      <w:pPr>
        <w:pStyle w:val="ListParagraph"/>
        <w:spacing w:line="276" w:lineRule="auto"/>
        <w:ind w:left="1134"/>
        <w:jc w:val="both"/>
        <w:rPr>
          <w:rFonts w:ascii="Verdana" w:hAnsi="Verdana"/>
          <w:i/>
          <w:iCs/>
          <w:lang w:val="es-PE"/>
        </w:rPr>
      </w:pPr>
      <w:r w:rsidRPr="00210590">
        <w:rPr>
          <w:rFonts w:ascii="Verdana" w:hAnsi="Verdana"/>
          <w:i/>
          <w:iCs/>
          <w:lang w:val="es-PE"/>
        </w:rPr>
        <w:t>30.En efecto, los daños alegados por OCÉANO podrían haberse generado durante el embarque de la nave en puerto de origen o durante la travesía, no habiendo presentado, la apelante, medio probatorio alguno que acredite que la Entidad Prestadora resultara responsable de dichos daños.</w:t>
      </w:r>
    </w:p>
    <w:p w:rsidRPr="00210590" w:rsidR="00210590" w:rsidP="00514AA7" w:rsidRDefault="00210590" w14:paraId="2009E6EE" w14:textId="1C5CD508">
      <w:pPr>
        <w:pStyle w:val="ListParagraph"/>
        <w:spacing w:line="276" w:lineRule="auto"/>
        <w:ind w:left="1134"/>
        <w:jc w:val="both"/>
        <w:rPr>
          <w:rFonts w:ascii="Verdana" w:hAnsi="Verdana"/>
          <w:i/>
          <w:iCs/>
          <w:lang w:val="es-PE"/>
        </w:rPr>
      </w:pPr>
      <w:r w:rsidRPr="00210590">
        <w:rPr>
          <w:rFonts w:ascii="Verdana" w:hAnsi="Verdana"/>
          <w:i/>
          <w:iCs/>
          <w:lang w:val="es-PE"/>
        </w:rPr>
        <w:t>31.Cabe recordar que el artículo 200 del CPC, señala que en aquel caso en el que no se hayan probado los hechos que sustentan la pretensión de lo requerido, corresponde que la referida pretensión sea declarada infundada.</w:t>
      </w:r>
    </w:p>
    <w:p w:rsidRPr="00210590" w:rsidR="00210590" w:rsidP="00514AA7" w:rsidRDefault="00210590" w14:paraId="36ED0A95" w14:textId="306555B2">
      <w:pPr>
        <w:pStyle w:val="ListParagraph"/>
        <w:spacing w:line="276" w:lineRule="auto"/>
        <w:ind w:left="1134"/>
        <w:jc w:val="both"/>
        <w:rPr>
          <w:rFonts w:ascii="Verdana" w:hAnsi="Verdana"/>
          <w:i/>
          <w:iCs/>
          <w:lang w:val="es-PE"/>
        </w:rPr>
      </w:pPr>
      <w:r w:rsidRPr="00210590">
        <w:rPr>
          <w:rFonts w:ascii="Verdana" w:hAnsi="Verdana"/>
          <w:i/>
          <w:iCs/>
          <w:lang w:val="es-PE"/>
        </w:rPr>
        <w:t xml:space="preserve">32.En ese sentido, en la medida que OCÉANO no ha acreditado la responsabilidad de la Entidad Prestadora por los daños alegados en el presente procedimiento, corresponde confirmar la resolución No. 1 emitida por APM. (…)” </w:t>
      </w:r>
    </w:p>
    <w:p w:rsidRPr="00210590" w:rsidR="00210590" w:rsidP="00514AA7" w:rsidRDefault="00210590" w14:paraId="3EBBD2F7" w14:textId="77777777">
      <w:pPr>
        <w:pStyle w:val="ListParagraph"/>
        <w:spacing w:line="276" w:lineRule="auto"/>
        <w:ind w:left="1134"/>
        <w:jc w:val="both"/>
        <w:rPr>
          <w:rFonts w:ascii="Verdana" w:hAnsi="Verdana"/>
          <w:i/>
          <w:iCs/>
          <w:lang w:val="es-PE"/>
        </w:rPr>
      </w:pPr>
      <w:r w:rsidRPr="00210590">
        <w:rPr>
          <w:rFonts w:ascii="Verdana" w:hAnsi="Verdana"/>
          <w:i/>
          <w:iCs/>
          <w:lang w:val="es-PE"/>
        </w:rPr>
        <w:t>- El subrayado es nuestro-</w:t>
      </w:r>
    </w:p>
    <w:p w:rsidRPr="00210590" w:rsidR="00210590" w:rsidP="00514AA7" w:rsidRDefault="00210590" w14:paraId="46992998" w14:textId="77777777">
      <w:pPr>
        <w:pStyle w:val="ListParagraph"/>
        <w:spacing w:line="276" w:lineRule="auto"/>
        <w:ind w:left="1134"/>
        <w:jc w:val="both"/>
        <w:rPr>
          <w:rFonts w:ascii="Verdana" w:hAnsi="Verdana"/>
          <w:lang w:val="es-PE"/>
        </w:rPr>
      </w:pPr>
    </w:p>
    <w:p w:rsidRPr="00210590" w:rsidR="00210590" w:rsidP="00514AA7" w:rsidRDefault="00210590" w14:paraId="7CDD7A37" w14:textId="32483551">
      <w:pPr>
        <w:pStyle w:val="ListParagraph"/>
        <w:spacing w:line="276" w:lineRule="auto"/>
        <w:ind w:left="567"/>
        <w:jc w:val="both"/>
        <w:rPr>
          <w:rFonts w:ascii="Verdana" w:hAnsi="Verdana"/>
          <w:lang w:val="es-PE"/>
        </w:rPr>
      </w:pPr>
      <w:r w:rsidRPr="00210590">
        <w:rPr>
          <w:rFonts w:ascii="Verdana" w:hAnsi="Verdana"/>
          <w:lang w:val="es-PE"/>
        </w:rPr>
        <w:t xml:space="preserve">De acuerdo a ello, el documento </w:t>
      </w:r>
      <w:r w:rsidR="00802A85">
        <w:rPr>
          <w:rFonts w:ascii="Verdana" w:hAnsi="Verdana"/>
          <w:lang w:val="es-PE"/>
        </w:rPr>
        <w:t>Stevadore</w:t>
      </w:r>
      <w:r w:rsidRPr="00210590">
        <w:rPr>
          <w:rFonts w:ascii="Verdana" w:hAnsi="Verdana"/>
          <w:lang w:val="es-PE"/>
        </w:rPr>
        <w:t xml:space="preserve"> Damage Report</w:t>
      </w:r>
      <w:r>
        <w:rPr>
          <w:rFonts w:ascii="Verdana" w:hAnsi="Verdana"/>
          <w:lang w:val="es-PE"/>
        </w:rPr>
        <w:t xml:space="preserve"> </w:t>
      </w:r>
      <w:r w:rsidRPr="00210590">
        <w:rPr>
          <w:rFonts w:ascii="Verdana" w:hAnsi="Verdana"/>
          <w:lang w:val="es-PE"/>
        </w:rPr>
        <w:t xml:space="preserve">consigna la existencia del supuesto daño, sin embargo, </w:t>
      </w:r>
      <w:r>
        <w:rPr>
          <w:rFonts w:ascii="Verdana" w:hAnsi="Verdana"/>
          <w:lang w:val="es-PE"/>
        </w:rPr>
        <w:t>NO</w:t>
      </w:r>
      <w:r w:rsidRPr="00210590">
        <w:rPr>
          <w:rFonts w:ascii="Verdana" w:hAnsi="Verdana"/>
          <w:lang w:val="es-PE"/>
        </w:rPr>
        <w:t xml:space="preserve"> acredita fehacientemente que el mismo hubiera sido ocasionado de responsabilidad de APMTC.</w:t>
      </w:r>
    </w:p>
    <w:p w:rsidRPr="00210590" w:rsidR="00210590" w:rsidP="00514AA7" w:rsidRDefault="00210590" w14:paraId="57A6938E" w14:textId="77777777">
      <w:pPr>
        <w:pStyle w:val="ListParagraph"/>
        <w:spacing w:line="276" w:lineRule="auto"/>
        <w:ind w:left="567"/>
        <w:jc w:val="both"/>
        <w:rPr>
          <w:rFonts w:ascii="Verdana" w:hAnsi="Verdana"/>
          <w:lang w:val="es-PE"/>
        </w:rPr>
      </w:pPr>
    </w:p>
    <w:p w:rsidRPr="00210590" w:rsidR="000A57C4" w:rsidP="00514AA7" w:rsidRDefault="00210590" w14:paraId="5B35FD2F" w14:textId="34F05745">
      <w:pPr>
        <w:pStyle w:val="ListParagraph"/>
        <w:spacing w:line="276" w:lineRule="auto"/>
        <w:ind w:left="567"/>
        <w:jc w:val="both"/>
        <w:rPr>
          <w:rFonts w:ascii="Verdana" w:hAnsi="Verdana"/>
          <w:b/>
          <w:bCs/>
        </w:rPr>
      </w:pPr>
      <w:r w:rsidRPr="00210590">
        <w:rPr>
          <w:rFonts w:ascii="Verdana" w:hAnsi="Verdana"/>
          <w:b/>
          <w:bCs/>
          <w:lang w:val="es-PE"/>
        </w:rPr>
        <w:t>2.2.3 Respecto a los correos electrónicos.</w:t>
      </w:r>
    </w:p>
    <w:p w:rsidR="000A57C4" w:rsidP="00514AA7" w:rsidRDefault="000A57C4" w14:paraId="21E43661" w14:textId="0350D0DB">
      <w:pPr>
        <w:pStyle w:val="ListParagraph"/>
        <w:spacing w:line="276" w:lineRule="auto"/>
        <w:ind w:left="567"/>
        <w:jc w:val="both"/>
        <w:rPr>
          <w:rFonts w:ascii="Verdana" w:hAnsi="Verdana"/>
          <w:b/>
          <w:bCs/>
        </w:rPr>
      </w:pPr>
    </w:p>
    <w:p w:rsidR="002942FE" w:rsidP="00514AA7" w:rsidRDefault="00210590" w14:paraId="7F35C2FC" w14:textId="17324516">
      <w:pPr>
        <w:pStyle w:val="ListParagraph"/>
        <w:spacing w:line="276" w:lineRule="auto"/>
        <w:ind w:left="567"/>
        <w:jc w:val="both"/>
        <w:rPr>
          <w:rFonts w:ascii="Verdana" w:hAnsi="Verdana"/>
        </w:rPr>
      </w:pPr>
      <w:r>
        <w:rPr>
          <w:rFonts w:ascii="Verdana" w:hAnsi="Verdana"/>
        </w:rPr>
        <w:t>Respecto a los correos electrónicos debemos señalar que</w:t>
      </w:r>
      <w:r w:rsidR="002942FE">
        <w:rPr>
          <w:rFonts w:ascii="Verdana" w:hAnsi="Verdana"/>
        </w:rPr>
        <w:t xml:space="preserve"> los mismos no prueban la </w:t>
      </w:r>
      <w:r w:rsidR="002942FE">
        <w:rPr>
          <w:rFonts w:ascii="Verdana" w:hAnsi="Verdana"/>
        </w:rPr>
        <w:lastRenderedPageBreak/>
        <w:t>ocurrencia del daño, ni mucho menos la responsabilidad de la Entida</w:t>
      </w:r>
      <w:r w:rsidR="00802A85">
        <w:rPr>
          <w:rFonts w:ascii="Verdana" w:hAnsi="Verdana"/>
        </w:rPr>
        <w:t>d</w:t>
      </w:r>
      <w:r w:rsidR="002942FE">
        <w:rPr>
          <w:rFonts w:ascii="Verdana" w:hAnsi="Verdana"/>
        </w:rPr>
        <w:t xml:space="preserve"> Prestadora en los daños reclamados por AGUNSA.</w:t>
      </w:r>
    </w:p>
    <w:p w:rsidR="002942FE" w:rsidP="00514AA7" w:rsidRDefault="002942FE" w14:paraId="51D6E4B5" w14:textId="77777777">
      <w:pPr>
        <w:pStyle w:val="ListParagraph"/>
        <w:spacing w:line="276" w:lineRule="auto"/>
        <w:ind w:left="567"/>
        <w:jc w:val="both"/>
        <w:rPr>
          <w:rFonts w:ascii="Verdana" w:hAnsi="Verdana"/>
        </w:rPr>
      </w:pPr>
    </w:p>
    <w:p w:rsidR="002942FE" w:rsidP="00514AA7" w:rsidRDefault="002942FE" w14:paraId="2607B8FF" w14:textId="244F7719">
      <w:pPr>
        <w:pStyle w:val="ListParagraph"/>
        <w:spacing w:line="276" w:lineRule="auto"/>
        <w:ind w:left="567"/>
        <w:jc w:val="both"/>
        <w:rPr>
          <w:rFonts w:ascii="Verdana" w:hAnsi="Verdana"/>
        </w:rPr>
      </w:pPr>
      <w:r>
        <w:rPr>
          <w:rFonts w:ascii="Verdana" w:hAnsi="Verdana"/>
        </w:rPr>
        <w:t xml:space="preserve">Al respecto el Tribunal de Solución de Controversias de </w:t>
      </w:r>
      <w:r w:rsidR="00514AA7">
        <w:rPr>
          <w:rFonts w:ascii="Verdana" w:hAnsi="Verdana"/>
        </w:rPr>
        <w:t>OSITRAN mediante</w:t>
      </w:r>
      <w:r>
        <w:rPr>
          <w:rFonts w:ascii="Verdana" w:hAnsi="Verdana"/>
        </w:rPr>
        <w:t xml:space="preserve"> resolución final del expediente No .218-208-TSC-OSITRAN, en su numeral 26, prescribió lo siguiente:</w:t>
      </w:r>
    </w:p>
    <w:p w:rsidR="002942FE" w:rsidP="00514AA7" w:rsidRDefault="002942FE" w14:paraId="64DA05AF" w14:textId="77777777">
      <w:pPr>
        <w:pStyle w:val="ListParagraph"/>
        <w:spacing w:line="276" w:lineRule="auto"/>
        <w:ind w:left="567"/>
        <w:jc w:val="both"/>
        <w:rPr>
          <w:rFonts w:ascii="Verdana" w:hAnsi="Verdana"/>
        </w:rPr>
      </w:pPr>
    </w:p>
    <w:p w:rsidRPr="002942FE" w:rsidR="00210590" w:rsidP="00514AA7" w:rsidRDefault="002942FE" w14:paraId="4E690C6B" w14:textId="563E92F6">
      <w:pPr>
        <w:pStyle w:val="ListParagraph"/>
        <w:spacing w:line="276" w:lineRule="auto"/>
        <w:ind w:left="1134"/>
        <w:jc w:val="both"/>
        <w:rPr>
          <w:rFonts w:ascii="Verdana" w:hAnsi="Verdana"/>
          <w:i/>
          <w:iCs/>
        </w:rPr>
      </w:pPr>
      <w:r w:rsidRPr="002942FE">
        <w:rPr>
          <w:rFonts w:ascii="Verdana" w:hAnsi="Verdana"/>
          <w:i/>
          <w:iCs/>
        </w:rPr>
        <w:t>“26. En este sentido, si bien a través de la recepción y/o envío de un correo electrónico el usuario puede tomar conocimiento y/o reportar determinados hechos a la Entidad Prestadora, como la ocurrencia de daños durante las operaciones de descarga; ello no lo exime de la obligación de acreditar y/o probar la existencia de dichos daños y que estos se generaron como consecuencia del defectuoso servicio brindado por la Entidad Prestadora, más aún si existen dispositivos y normas que establecen claramente a quien alega un daño, corresponde probarlo.</w:t>
      </w:r>
      <w:r w:rsidRPr="002942FE" w:rsidR="00210590">
        <w:rPr>
          <w:rFonts w:ascii="Verdana" w:hAnsi="Verdana"/>
          <w:i/>
          <w:iCs/>
        </w:rPr>
        <w:t xml:space="preserve"> </w:t>
      </w:r>
    </w:p>
    <w:p w:rsidRPr="002942FE" w:rsidR="00210590" w:rsidP="00514AA7" w:rsidRDefault="00210590" w14:paraId="4FF33B84" w14:textId="28BFB327">
      <w:pPr>
        <w:pStyle w:val="ListParagraph"/>
        <w:spacing w:line="276" w:lineRule="auto"/>
        <w:ind w:left="567"/>
        <w:jc w:val="both"/>
        <w:rPr>
          <w:rFonts w:ascii="Verdana" w:hAnsi="Verdana"/>
        </w:rPr>
      </w:pPr>
    </w:p>
    <w:p w:rsidRPr="002942FE" w:rsidR="002942FE" w:rsidP="00514AA7" w:rsidRDefault="002942FE" w14:paraId="5D48974A" w14:textId="4C788827">
      <w:pPr>
        <w:pStyle w:val="ListParagraph"/>
        <w:spacing w:line="276" w:lineRule="auto"/>
        <w:ind w:left="567"/>
        <w:jc w:val="both"/>
        <w:rPr>
          <w:rFonts w:ascii="Verdana" w:hAnsi="Verdana"/>
        </w:rPr>
      </w:pPr>
      <w:r w:rsidRPr="002942FE">
        <w:rPr>
          <w:rFonts w:ascii="Verdana" w:hAnsi="Verdana"/>
        </w:rPr>
        <w:t>Queda claro que los correos electrónicos no son los medios probatorios idóneos a fin de acreditar la responsabilidad de los presuntos daños a la Entidad Prestadora.</w:t>
      </w:r>
    </w:p>
    <w:p w:rsidRPr="002942FE" w:rsidR="002942FE" w:rsidP="00514AA7" w:rsidRDefault="002942FE" w14:paraId="35A8936F" w14:textId="77777777">
      <w:pPr>
        <w:spacing w:line="276" w:lineRule="auto"/>
        <w:jc w:val="both"/>
        <w:rPr>
          <w:rFonts w:ascii="Verdana" w:hAnsi="Verdana"/>
          <w:b/>
          <w:bCs/>
        </w:rPr>
      </w:pPr>
    </w:p>
    <w:p w:rsidRPr="00613107" w:rsidR="00613107" w:rsidP="00514AA7" w:rsidRDefault="004A5445" w14:paraId="0D1E242D" w14:textId="77777777">
      <w:pPr>
        <w:pStyle w:val="ListParagraph"/>
        <w:numPr>
          <w:ilvl w:val="1"/>
          <w:numId w:val="1"/>
        </w:numPr>
        <w:spacing w:line="276" w:lineRule="auto"/>
        <w:ind w:left="567" w:hanging="567"/>
        <w:jc w:val="both"/>
        <w:rPr>
          <w:rFonts w:ascii="Verdana" w:hAnsi="Verdana"/>
        </w:rPr>
      </w:pPr>
      <w:r>
        <w:rPr>
          <w:rFonts w:ascii="Verdana" w:hAnsi="Verdana"/>
          <w:b/>
        </w:rPr>
        <w:t>Respecto a la</w:t>
      </w:r>
      <w:r w:rsidR="00613107">
        <w:rPr>
          <w:rFonts w:ascii="Verdana" w:hAnsi="Verdana"/>
          <w:b/>
        </w:rPr>
        <w:t>s operaciones de descarga de la nave VIKING DRIVE.</w:t>
      </w:r>
      <w:r>
        <w:rPr>
          <w:rFonts w:ascii="Verdana" w:hAnsi="Verdana"/>
          <w:b/>
        </w:rPr>
        <w:t xml:space="preserve"> </w:t>
      </w:r>
    </w:p>
    <w:p w:rsidRPr="00613107" w:rsidR="00613107" w:rsidP="00613107" w:rsidRDefault="00613107" w14:paraId="3CA8682E" w14:textId="77777777">
      <w:pPr>
        <w:pStyle w:val="ListParagraph"/>
        <w:spacing w:line="276" w:lineRule="auto"/>
        <w:ind w:left="567"/>
        <w:jc w:val="both"/>
        <w:rPr>
          <w:rFonts w:ascii="Verdana" w:hAnsi="Verdana"/>
        </w:rPr>
      </w:pPr>
    </w:p>
    <w:p w:rsidR="00613107" w:rsidP="00613107" w:rsidRDefault="00613107" w14:paraId="6AAF15F9" w14:textId="784D13A6">
      <w:pPr>
        <w:pStyle w:val="ListParagraph"/>
        <w:spacing w:line="276" w:lineRule="auto"/>
        <w:ind w:left="567"/>
        <w:jc w:val="both"/>
        <w:rPr>
          <w:rFonts w:ascii="Verdana" w:hAnsi="Verdana"/>
        </w:rPr>
      </w:pPr>
      <w:r w:rsidR="00613107">
        <w:rPr>
          <w:rFonts w:ascii="Verdana" w:hAnsi="Verdana"/>
        </w:rPr>
        <w:t xml:space="preserve">Al respecto, debemos de mencionar que luego de una revisión con el Área de Operaciones de APMTC, se determinó que durante la operación de retiro de la cuchara </w:t>
      </w:r>
      <w:r w:rsidRPr="7A2986AA" w:rsidR="00613107">
        <w:rPr>
          <w:rFonts w:ascii="Verdana" w:hAnsi="Verdana" w:cs="Arial"/>
          <w:spacing w:val="-2"/>
          <w:lang w:val="es-PE"/>
        </w:rPr>
        <w:t>de la unidad de marca CATERPILLAR con número de serie D475-A-8R</w:t>
      </w:r>
      <w:r w:rsidRPr="7A2986AA" w:rsidR="00613107">
        <w:rPr>
          <w:rFonts w:ascii="Verdana" w:hAnsi="Verdana" w:cs="Arial"/>
          <w:spacing w:val="-2"/>
          <w:lang w:val="es-PE"/>
        </w:rPr>
        <w:t xml:space="preserve">, este equipo se inclinó causando </w:t>
      </w:r>
      <w:r w:rsidRPr="7A2986AA" w:rsidR="18BF8D84">
        <w:rPr>
          <w:rFonts w:ascii="Verdana" w:hAnsi="Verdana" w:cs="Arial"/>
          <w:spacing w:val="-2"/>
          <w:lang w:val="es-PE"/>
        </w:rPr>
        <w:t>un doblez</w:t>
      </w:r>
      <w:r w:rsidRPr="7A2986AA" w:rsidR="00613107">
        <w:rPr>
          <w:rFonts w:ascii="Verdana" w:hAnsi="Verdana" w:cs="Arial"/>
          <w:spacing w:val="-2"/>
          <w:lang w:val="es-PE"/>
        </w:rPr>
        <w:t xml:space="preserve"> de la baranda de seguridad. Sin embargo, no se observa que el piso del </w:t>
      </w:r>
      <w:r w:rsidRPr="7A2986AA" w:rsidR="00613107">
        <w:rPr>
          <w:rFonts w:ascii="Verdana" w:hAnsi="Verdana" w:cs="Arial"/>
          <w:spacing w:val="-2"/>
          <w:lang w:val="es-PE"/>
        </w:rPr>
        <w:t>deck</w:t>
      </w:r>
      <w:r w:rsidRPr="7A2986AA" w:rsidR="00613107">
        <w:rPr>
          <w:rFonts w:ascii="Verdana" w:hAnsi="Verdana" w:cs="Arial"/>
          <w:spacing w:val="-2"/>
          <w:lang w:val="es-PE"/>
        </w:rPr>
        <w:t xml:space="preserve"> hubiese sufrido algún daño, ni mucho menos, que la cuchara hubiese sufrido daño alguno.</w:t>
      </w:r>
    </w:p>
    <w:p w:rsidR="00DF387E" w:rsidP="00514AA7" w:rsidRDefault="00DF387E" w14:paraId="24CD8C6C" w14:textId="77777777">
      <w:pPr>
        <w:spacing w:line="276" w:lineRule="auto"/>
        <w:jc w:val="both"/>
        <w:rPr>
          <w:rFonts w:ascii="Verdana" w:hAnsi="Verdana" w:eastAsiaTheme="minorHAnsi"/>
          <w:highlight w:val="yellow"/>
          <w:lang w:val="es-PE"/>
        </w:rPr>
      </w:pPr>
    </w:p>
    <w:p w:rsidR="005B51A5" w:rsidP="00514AA7" w:rsidRDefault="002942FE" w14:paraId="4A2A4527" w14:textId="104DCB28">
      <w:pPr>
        <w:widowControl w:val="1"/>
        <w:tabs>
          <w:tab w:val="left" w:pos="3626"/>
          <w:tab w:val="left" w:pos="5529"/>
        </w:tabs>
        <w:suppressAutoHyphens/>
        <w:spacing w:line="276" w:lineRule="auto"/>
        <w:contextualSpacing/>
        <w:jc w:val="both"/>
        <w:rPr>
          <w:rFonts w:ascii="Verdana" w:hAnsi="Verdana" w:cs="Arial"/>
          <w:lang w:val="es-MX"/>
        </w:rPr>
      </w:pPr>
      <w:r w:rsidR="002942FE">
        <w:rPr>
          <w:rFonts w:ascii="Verdana" w:hAnsi="Verdana" w:cs="Arial"/>
          <w:lang w:val="es-MX"/>
        </w:rPr>
        <w:t xml:space="preserve">Así las cosas, </w:t>
      </w:r>
      <w:r w:rsidR="00613107">
        <w:rPr>
          <w:rFonts w:ascii="Verdana" w:hAnsi="Verdana" w:cs="Arial"/>
          <w:lang w:val="es-MX"/>
        </w:rPr>
        <w:t xml:space="preserve">corresponde declarar FUNDADO EN PARTE, FUNDADO respecto a</w:t>
      </w:r>
      <w:r w:rsidR="467217DE">
        <w:rPr>
          <w:rFonts w:ascii="Verdana" w:hAnsi="Verdana" w:cs="Arial"/>
          <w:lang w:val="es-MX"/>
        </w:rPr>
        <w:t xml:space="preserve">l</w:t>
      </w:r>
      <w:r w:rsidR="00613107">
        <w:rPr>
          <w:rFonts w:ascii="Verdana" w:hAnsi="Verdana" w:cs="Arial"/>
          <w:lang w:val="es-MX"/>
        </w:rPr>
        <w:t xml:space="preserve"> dobl</w:t>
      </w:r>
      <w:r w:rsidR="7BC4E5A1">
        <w:rPr>
          <w:rFonts w:ascii="Verdana" w:hAnsi="Verdana" w:cs="Arial"/>
          <w:lang w:val="es-MX"/>
        </w:rPr>
        <w:t xml:space="preserve">ez</w:t>
      </w:r>
      <w:r w:rsidR="00613107">
        <w:rPr>
          <w:rFonts w:ascii="Verdana" w:hAnsi="Verdana" w:cs="Arial"/>
          <w:lang w:val="es-MX"/>
        </w:rPr>
        <w:t xml:space="preserve"> de</w:t>
      </w:r>
      <w:r w:rsidR="00613107">
        <w:rPr>
          <w:rFonts w:ascii="Verdana" w:hAnsi="Verdana" w:cs="Arial"/>
          <w:lang w:val="es-MX"/>
        </w:rPr>
        <w:t xml:space="preserve"> la baranda de seguridad; e INFUNDADO respecto al presunto daño al piso del </w:t>
      </w:r>
      <w:r w:rsidR="00613107">
        <w:rPr>
          <w:rFonts w:ascii="Verdana" w:hAnsi="Verdana" w:cs="Arial"/>
          <w:lang w:val="es-MX"/>
        </w:rPr>
        <w:t xml:space="preserve">deck</w:t>
      </w:r>
      <w:r w:rsidR="00613107">
        <w:rPr>
          <w:rFonts w:ascii="Verdana" w:hAnsi="Verdana" w:cs="Arial"/>
          <w:lang w:val="es-MX"/>
        </w:rPr>
        <w:t xml:space="preserve"> de la nave VIKING DRIVE y de la cuchara de </w:t>
      </w:r>
      <w:r w:rsidRPr="7A2986AA" w:rsidR="00613107">
        <w:rPr>
          <w:rFonts w:ascii="Verdana" w:hAnsi="Verdana" w:cs="Arial"/>
          <w:spacing w:val="-2"/>
          <w:lang w:val="es-PE"/>
        </w:rPr>
        <w:t>de la unidad de marca CATERPILLAR con número de serie D475-A-8R</w:t>
      </w:r>
      <w:r w:rsidRPr="7A2986AA" w:rsidR="00613107">
        <w:rPr>
          <w:rFonts w:ascii="Verdana" w:hAnsi="Verdana" w:cs="Arial"/>
          <w:spacing w:val="-2"/>
          <w:lang w:val="es-PE"/>
        </w:rPr>
        <w:t>, debido a que la Reclamante no acreditó de manera fehaciente que estos hubiesen sufrido daño alguno.</w:t>
      </w:r>
    </w:p>
    <w:p w:rsidR="00514AA7" w:rsidP="00514AA7" w:rsidRDefault="00514AA7" w14:paraId="7672EDDC" w14:textId="77777777">
      <w:pPr>
        <w:widowControl/>
        <w:tabs>
          <w:tab w:val="left" w:pos="3626"/>
          <w:tab w:val="left" w:pos="5529"/>
        </w:tabs>
        <w:suppressAutoHyphens/>
        <w:spacing w:line="276" w:lineRule="auto"/>
        <w:contextualSpacing/>
        <w:jc w:val="both"/>
        <w:rPr>
          <w:rFonts w:ascii="Verdana" w:hAnsi="Verdana" w:cs="Arial"/>
          <w:lang w:val="es-MX"/>
        </w:rPr>
      </w:pPr>
    </w:p>
    <w:p w:rsidRPr="005B51A5" w:rsidR="005B51A5" w:rsidP="00514AA7" w:rsidRDefault="005B51A5" w14:paraId="3D6C6332" w14:textId="16B21DB4">
      <w:pPr>
        <w:widowControl/>
        <w:tabs>
          <w:tab w:val="left" w:pos="3626"/>
          <w:tab w:val="left" w:pos="5529"/>
        </w:tabs>
        <w:suppressAutoHyphens/>
        <w:spacing w:line="276" w:lineRule="auto"/>
        <w:contextualSpacing/>
        <w:jc w:val="both"/>
        <w:rPr>
          <w:rFonts w:ascii="Verdana" w:hAnsi="Verdana" w:cs="Arial"/>
          <w:lang w:val="es-MX"/>
        </w:rPr>
      </w:pPr>
      <w:r>
        <w:rPr>
          <w:rFonts w:ascii="Verdana" w:hAnsi="Verdana"/>
          <w:lang w:val="es-PE"/>
        </w:rPr>
        <w:t>Sin perjuicio de ello, en caso de que la Reclamante considere que la presente Resolución viola, desconoce o lesiona un derecho o interés legítimo, podrá interponer contra la misma los medios impugnatorios descritos en el Capítulo III, numerales 3.1.1 y 3.1.2 del Reglamento de Atención y Solución de Reclamos de Usuarios de APMTC</w:t>
      </w:r>
      <w:r>
        <w:rPr>
          <w:rFonts w:ascii="Verdana" w:hAnsi="Verdana"/>
          <w:sz w:val="18"/>
          <w:szCs w:val="18"/>
          <w:vertAlign w:val="superscript"/>
          <w:lang w:val="es-PE"/>
        </w:rPr>
        <w:footnoteReference w:id="1"/>
      </w:r>
      <w:r>
        <w:rPr>
          <w:rFonts w:ascii="Verdana" w:hAnsi="Verdana"/>
          <w:lang w:val="es-PE"/>
        </w:rPr>
        <w:t xml:space="preserve">. </w:t>
      </w:r>
    </w:p>
    <w:p w:rsidRPr="005B51A5" w:rsidR="00E34117" w:rsidP="00514AA7" w:rsidRDefault="00E34117" w14:paraId="0BFE4152" w14:textId="77777777">
      <w:pPr>
        <w:spacing w:line="276" w:lineRule="auto"/>
        <w:jc w:val="both"/>
        <w:rPr>
          <w:rFonts w:ascii="Verdana" w:hAnsi="Verdana" w:eastAsiaTheme="minorHAnsi"/>
          <w:lang w:val="es-MX"/>
        </w:rPr>
      </w:pPr>
    </w:p>
    <w:p w:rsidRPr="00E46F5D" w:rsidR="00180008" w:rsidP="00514AA7" w:rsidRDefault="00180008" w14:paraId="00834322" w14:textId="77777777">
      <w:pPr>
        <w:pStyle w:val="ListParagraph"/>
        <w:widowControl/>
        <w:numPr>
          <w:ilvl w:val="0"/>
          <w:numId w:val="1"/>
        </w:numPr>
        <w:spacing w:line="276" w:lineRule="auto"/>
        <w:ind w:left="567" w:hanging="567"/>
        <w:jc w:val="both"/>
        <w:rPr>
          <w:rFonts w:ascii="Verdana" w:hAnsi="Verdana" w:cs="Arial"/>
          <w:b/>
          <w:iCs/>
          <w:spacing w:val="-2"/>
        </w:rPr>
      </w:pPr>
      <w:r w:rsidRPr="00E46F5D">
        <w:rPr>
          <w:rFonts w:ascii="Verdana" w:hAnsi="Verdana" w:cs="Arial"/>
          <w:b/>
          <w:iCs/>
          <w:spacing w:val="-2"/>
        </w:rPr>
        <w:t>RESOLUCIÓN</w:t>
      </w:r>
    </w:p>
    <w:p w:rsidRPr="00E46F5D" w:rsidR="00A97D0A" w:rsidP="00514AA7" w:rsidRDefault="00A97D0A" w14:paraId="1748ADD6" w14:textId="2FFD2E52">
      <w:pPr>
        <w:pStyle w:val="ListParagraph"/>
        <w:widowControl/>
        <w:tabs>
          <w:tab w:val="left" w:pos="90"/>
          <w:tab w:val="left" w:pos="360"/>
        </w:tabs>
        <w:spacing w:line="276" w:lineRule="auto"/>
        <w:ind w:left="709"/>
        <w:jc w:val="both"/>
        <w:rPr>
          <w:rFonts w:ascii="Verdana" w:hAnsi="Verdana" w:cs="Arial"/>
          <w:b/>
          <w:bCs/>
          <w:iCs/>
          <w:spacing w:val="-2"/>
        </w:rPr>
      </w:pPr>
    </w:p>
    <w:p w:rsidRPr="00E46F5D" w:rsidR="00A349FA" w:rsidP="00514AA7" w:rsidRDefault="00A349FA" w14:paraId="732E0464" w14:textId="4D002D4A">
      <w:pPr>
        <w:pStyle w:val="NoSpacing"/>
        <w:spacing w:line="276" w:lineRule="auto"/>
        <w:jc w:val="both"/>
        <w:rPr>
          <w:rFonts w:ascii="Verdana" w:hAnsi="Verdana" w:eastAsia="Times New Roman" w:cs="Times New Roman"/>
          <w:b/>
          <w:sz w:val="20"/>
          <w:szCs w:val="20"/>
          <w:lang w:val="es-PE"/>
        </w:rPr>
      </w:pPr>
      <w:r w:rsidRPr="00E46F5D">
        <w:rPr>
          <w:rFonts w:ascii="Verdana" w:hAnsi="Verdana" w:eastAsia="Times New Roman" w:cs="Times New Roman"/>
          <w:spacing w:val="-4"/>
          <w:sz w:val="20"/>
          <w:szCs w:val="20"/>
          <w:lang w:val="es-PE"/>
        </w:rPr>
        <w:t xml:space="preserve">Por lo antes expuesto, se declara </w:t>
      </w:r>
      <w:r w:rsidRPr="15F0A360">
        <w:rPr>
          <w:rFonts w:ascii="Verdana" w:hAnsi="Verdana" w:eastAsia="Times New Roman" w:cs="Times New Roman"/>
          <w:b/>
          <w:bCs/>
          <w:sz w:val="20"/>
          <w:szCs w:val="20"/>
          <w:lang w:val="es-PE"/>
        </w:rPr>
        <w:t>FUNDADO</w:t>
      </w:r>
      <w:r w:rsidR="00613107">
        <w:rPr>
          <w:rFonts w:ascii="Verdana" w:hAnsi="Verdana" w:eastAsia="Times New Roman" w:cs="Times New Roman"/>
          <w:b/>
          <w:bCs/>
          <w:sz w:val="20"/>
          <w:szCs w:val="20"/>
          <w:lang w:val="es-PE"/>
        </w:rPr>
        <w:t xml:space="preserve"> EN PARTE</w:t>
      </w:r>
      <w:r w:rsidRPr="15F0A360">
        <w:rPr>
          <w:rFonts w:ascii="Verdana" w:hAnsi="Verdana" w:eastAsia="Times New Roman" w:cs="Times New Roman"/>
          <w:b/>
          <w:bCs/>
          <w:sz w:val="20"/>
          <w:szCs w:val="20"/>
          <w:lang w:val="es-PE"/>
        </w:rPr>
        <w:t xml:space="preserve"> </w:t>
      </w:r>
      <w:r w:rsidRPr="00E46F5D">
        <w:rPr>
          <w:rFonts w:ascii="Verdana" w:hAnsi="Verdana" w:eastAsia="Times New Roman" w:cs="Times New Roman"/>
          <w:sz w:val="20"/>
          <w:szCs w:val="20"/>
          <w:lang w:val="es-PE"/>
        </w:rPr>
        <w:t xml:space="preserve">la solicitud de reclamo </w:t>
      </w:r>
      <w:r w:rsidRPr="00E46F5D" w:rsidR="00047D12">
        <w:rPr>
          <w:rFonts w:ascii="Verdana" w:hAnsi="Verdana" w:eastAsia="Times New Roman" w:cs="Times New Roman"/>
          <w:sz w:val="20"/>
          <w:szCs w:val="20"/>
          <w:lang w:val="es-PE"/>
        </w:rPr>
        <w:t>p</w:t>
      </w:r>
      <w:r w:rsidRPr="00E46F5D">
        <w:rPr>
          <w:rFonts w:ascii="Verdana" w:hAnsi="Verdana" w:eastAsia="Times New Roman" w:cs="Times New Roman"/>
          <w:sz w:val="20"/>
          <w:szCs w:val="20"/>
          <w:lang w:val="es-PE"/>
        </w:rPr>
        <w:t>resentada por</w:t>
      </w:r>
      <w:r w:rsidRPr="15F0A360">
        <w:rPr>
          <w:rFonts w:ascii="Verdana" w:hAnsi="Verdana" w:eastAsia="Times New Roman" w:cs="Arial"/>
          <w:b/>
          <w:bCs/>
          <w:sz w:val="20"/>
          <w:szCs w:val="20"/>
          <w:lang w:val="es-PE"/>
        </w:rPr>
        <w:t xml:space="preserve"> </w:t>
      </w:r>
      <w:r w:rsidRPr="15F0A360" w:rsidR="00047D12">
        <w:rPr>
          <w:rFonts w:ascii="Verdana" w:hAnsi="Verdana" w:eastAsia="Times New Roman" w:cs="Arial"/>
          <w:b/>
          <w:bCs/>
          <w:sz w:val="20"/>
          <w:szCs w:val="20"/>
          <w:lang w:val="es-PE"/>
        </w:rPr>
        <w:t>AGENCIAS UNIVERSALES PERU S.A.</w:t>
      </w:r>
      <w:r w:rsidRPr="15F0A360">
        <w:rPr>
          <w:rFonts w:ascii="Verdana" w:hAnsi="Verdana" w:eastAsia="Times New Roman" w:cs="Times New Roman"/>
          <w:b/>
          <w:bCs/>
          <w:sz w:val="20"/>
          <w:szCs w:val="20"/>
          <w:lang w:val="es-PE"/>
        </w:rPr>
        <w:t xml:space="preserve"> </w:t>
      </w:r>
      <w:r w:rsidRPr="15F0A360">
        <w:rPr>
          <w:rFonts w:ascii="Verdana" w:hAnsi="Verdana" w:cs="Arial"/>
          <w:spacing w:val="-2"/>
          <w:sz w:val="20"/>
          <w:szCs w:val="20"/>
          <w:lang w:val="es-PE"/>
        </w:rPr>
        <w:t>visto en</w:t>
      </w:r>
      <w:r w:rsidRPr="15F0A360">
        <w:rPr>
          <w:rFonts w:ascii="Verdana" w:hAnsi="Verdana" w:eastAsia="Times New Roman" w:cs="Arial"/>
          <w:spacing w:val="-2"/>
          <w:sz w:val="20"/>
          <w:szCs w:val="20"/>
          <w:lang w:val="es-PE"/>
        </w:rPr>
        <w:t xml:space="preserve"> el expediente </w:t>
      </w:r>
      <w:r w:rsidRPr="15F0A360">
        <w:rPr>
          <w:rFonts w:ascii="Verdana" w:hAnsi="Verdana" w:eastAsia="Times New Roman"/>
          <w:b/>
          <w:bCs/>
          <w:spacing w:val="-2"/>
          <w:sz w:val="20"/>
          <w:szCs w:val="20"/>
          <w:lang w:val="es-PE"/>
        </w:rPr>
        <w:t>APMTC/CL/0</w:t>
      </w:r>
      <w:r w:rsidR="00613107">
        <w:rPr>
          <w:rFonts w:ascii="Verdana" w:hAnsi="Verdana"/>
          <w:b/>
          <w:bCs/>
          <w:spacing w:val="-2"/>
          <w:sz w:val="20"/>
          <w:szCs w:val="20"/>
          <w:lang w:val="es-PE"/>
        </w:rPr>
        <w:t>054-2023</w:t>
      </w:r>
      <w:r w:rsidRPr="15F0A360">
        <w:rPr>
          <w:rFonts w:ascii="Verdana" w:hAnsi="Verdana" w:eastAsia="Times New Roman"/>
          <w:spacing w:val="-2"/>
          <w:sz w:val="20"/>
          <w:szCs w:val="20"/>
          <w:lang w:val="es-PE"/>
        </w:rPr>
        <w:t>.</w:t>
      </w:r>
    </w:p>
    <w:p w:rsidRPr="00E46F5D" w:rsidR="002F4786" w:rsidP="00514AA7" w:rsidRDefault="002F4786" w14:paraId="1505D568" w14:textId="7750333A">
      <w:pPr>
        <w:pStyle w:val="ListParagraph"/>
        <w:widowControl/>
        <w:spacing w:line="276" w:lineRule="auto"/>
        <w:ind w:left="0"/>
        <w:jc w:val="both"/>
      </w:pPr>
      <w:r>
        <w:br/>
      </w:r>
    </w:p>
    <w:p w:rsidRPr="00E46F5D" w:rsidR="00A349FA" w:rsidP="00514AA7" w:rsidRDefault="00A349FA" w14:paraId="40EE0FB3" w14:textId="48029D1B">
      <w:pPr>
        <w:pStyle w:val="ListParagraph"/>
        <w:widowControl w:val="1"/>
        <w:spacing w:line="276" w:lineRule="auto"/>
        <w:ind w:left="0"/>
        <w:jc w:val="both"/>
      </w:pPr>
      <w:r w:rsidR="7A2986AA">
        <w:drawing>
          <wp:anchor distT="0" distB="0" distL="114300" distR="114300" simplePos="0" relativeHeight="251658240" behindDoc="1" locked="0" layoutInCell="1" allowOverlap="1" wp14:editId="6B505091" wp14:anchorId="7372248D">
            <wp:simplePos x="0" y="0"/>
            <wp:positionH relativeFrom="column">
              <wp:align>left</wp:align>
            </wp:positionH>
            <wp:positionV relativeFrom="paragraph">
              <wp:posOffset>0</wp:posOffset>
            </wp:positionV>
            <wp:extent cx="3048000" cy="1981200"/>
            <wp:effectExtent l="0" t="0" r="0" b="0"/>
            <wp:wrapNone/>
            <wp:docPr id="253430046" name="" title=""/>
            <wp:cNvGraphicFramePr>
              <a:graphicFrameLocks noChangeAspect="1"/>
            </wp:cNvGraphicFramePr>
            <a:graphic>
              <a:graphicData uri="http://schemas.openxmlformats.org/drawingml/2006/picture">
                <pic:pic>
                  <pic:nvPicPr>
                    <pic:cNvPr id="0" name=""/>
                    <pic:cNvPicPr/>
                  </pic:nvPicPr>
                  <pic:blipFill>
                    <a:blip r:embed="R1a2bfc31174d4f61">
                      <a:extLst>
                        <a:ext xmlns:a="http://schemas.openxmlformats.org/drawingml/2006/main" uri="{28A0092B-C50C-407E-A947-70E740481C1C}">
                          <a14:useLocalDpi val="0"/>
                        </a:ext>
                      </a:extLst>
                    </a:blip>
                    <a:stretch>
                      <a:fillRect/>
                    </a:stretch>
                  </pic:blipFill>
                  <pic:spPr>
                    <a:xfrm>
                      <a:off x="0" y="0"/>
                      <a:ext cx="3048000" cy="1981200"/>
                    </a:xfrm>
                    <a:prstGeom prst="rect">
                      <a:avLst/>
                    </a:prstGeom>
                  </pic:spPr>
                </pic:pic>
              </a:graphicData>
            </a:graphic>
            <wp14:sizeRelH relativeFrom="page">
              <wp14:pctWidth>0</wp14:pctWidth>
            </wp14:sizeRelH>
            <wp14:sizeRelV relativeFrom="page">
              <wp14:pctHeight>0</wp14:pctHeight>
            </wp14:sizeRelV>
          </wp:anchor>
        </w:drawing>
      </w:r>
    </w:p>
    <w:p w:rsidRPr="00195A2E" w:rsidR="00A349FA" w:rsidP="00514AA7" w:rsidRDefault="00A349FA" w14:paraId="46171C1C" w14:textId="77777777">
      <w:pPr>
        <w:pStyle w:val="ListParagraph"/>
        <w:widowControl/>
        <w:spacing w:line="276" w:lineRule="auto"/>
        <w:ind w:left="0"/>
        <w:jc w:val="both"/>
        <w:rPr>
          <w:rFonts w:ascii="Verdana" w:hAnsi="Verdana" w:cs="Arial"/>
          <w:iCs/>
          <w:spacing w:val="-2"/>
          <w:highlight w:val="yellow"/>
        </w:rPr>
      </w:pPr>
    </w:p>
    <w:p w:rsidRPr="00195A2E" w:rsidR="004D7C10" w:rsidP="00514AA7" w:rsidRDefault="004D7C10" w14:paraId="3AE1A87D" w14:textId="6A2A38F8">
      <w:pPr>
        <w:pStyle w:val="ListParagraph"/>
        <w:widowControl/>
        <w:spacing w:line="276" w:lineRule="auto"/>
        <w:ind w:left="0"/>
        <w:jc w:val="both"/>
        <w:rPr>
          <w:rFonts w:ascii="Verdana" w:hAnsi="Verdana" w:cs="Arial"/>
          <w:iCs/>
          <w:spacing w:val="-2"/>
          <w:highlight w:val="yellow"/>
        </w:rPr>
      </w:pPr>
    </w:p>
    <w:p w:rsidR="00561213" w:rsidP="00514AA7" w:rsidRDefault="00561213" w14:paraId="0FF80EBA" w14:textId="3A59BD81">
      <w:pPr>
        <w:pStyle w:val="ListParagraph"/>
        <w:widowControl/>
        <w:spacing w:line="276" w:lineRule="auto"/>
        <w:ind w:left="0"/>
        <w:jc w:val="both"/>
        <w:rPr>
          <w:rFonts w:ascii="Verdana" w:hAnsi="Verdana" w:cs="Arial"/>
          <w:iCs/>
          <w:spacing w:val="-2"/>
          <w:highlight w:val="yellow"/>
        </w:rPr>
      </w:pPr>
    </w:p>
    <w:p w:rsidR="00561213" w:rsidP="15F0A360" w:rsidRDefault="00561213" w14:paraId="1FC7BFBA" w14:textId="4D130F72">
      <w:pPr>
        <w:pStyle w:val="ListParagraph"/>
        <w:widowControl w:val="1"/>
        <w:spacing w:line="276" w:lineRule="auto"/>
        <w:ind w:left="0"/>
        <w:jc w:val="both"/>
        <w:rPr>
          <w:rFonts w:ascii="Verdana" w:hAnsi="Verdana" w:cs="Arial"/>
          <w:spacing w:val="-2"/>
          <w:highlight w:val="yellow"/>
        </w:rPr>
      </w:pPr>
    </w:p>
    <w:p w:rsidR="7A2986AA" w:rsidP="7A2986AA" w:rsidRDefault="7A2986AA" w14:paraId="2ECBC535" w14:textId="3534C136">
      <w:pPr>
        <w:pStyle w:val="ListParagraph"/>
        <w:widowControl w:val="1"/>
        <w:spacing w:line="276" w:lineRule="auto"/>
        <w:ind w:left="0"/>
        <w:jc w:val="both"/>
        <w:rPr>
          <w:rFonts w:ascii="Verdana" w:hAnsi="Verdana" w:cs="Arial"/>
          <w:highlight w:val="yellow"/>
        </w:rPr>
      </w:pPr>
    </w:p>
    <w:p w:rsidR="7A2986AA" w:rsidP="7A2986AA" w:rsidRDefault="7A2986AA" w14:paraId="4472BA46" w14:textId="35443DDD">
      <w:pPr>
        <w:pStyle w:val="ListParagraph"/>
        <w:widowControl w:val="1"/>
        <w:spacing w:line="276" w:lineRule="auto"/>
        <w:ind w:left="0"/>
        <w:jc w:val="both"/>
        <w:rPr>
          <w:rFonts w:ascii="Verdana" w:hAnsi="Verdana" w:cs="Arial"/>
          <w:highlight w:val="yellow"/>
        </w:rPr>
      </w:pPr>
    </w:p>
    <w:p w:rsidR="15F0A360" w:rsidP="15F0A360" w:rsidRDefault="15F0A360" w14:paraId="52BC7D55" w14:textId="39A7936E">
      <w:pPr>
        <w:pStyle w:val="ListParagraph"/>
        <w:widowControl/>
        <w:spacing w:line="276" w:lineRule="auto"/>
        <w:ind w:left="0"/>
        <w:jc w:val="both"/>
        <w:rPr>
          <w:rFonts w:ascii="Verdana" w:hAnsi="Verdana" w:cs="Arial"/>
          <w:highlight w:val="yellow"/>
        </w:rPr>
      </w:pPr>
    </w:p>
    <w:p w:rsidR="00561213" w:rsidP="00514AA7" w:rsidRDefault="00561213" w14:paraId="6F447030" w14:textId="2F90D13B">
      <w:pPr>
        <w:pStyle w:val="ListParagraph"/>
        <w:widowControl/>
        <w:spacing w:line="276" w:lineRule="auto"/>
        <w:ind w:left="0"/>
        <w:jc w:val="both"/>
        <w:rPr>
          <w:rFonts w:ascii="Verdana" w:hAnsi="Verdana" w:cs="Arial"/>
          <w:iCs/>
          <w:spacing w:val="-2"/>
          <w:highlight w:val="yellow"/>
        </w:rPr>
      </w:pPr>
    </w:p>
    <w:p w:rsidRPr="00E46F5D" w:rsidR="000B1C45" w:rsidP="00514AA7" w:rsidRDefault="00E46F5D" w14:paraId="5970B9A8" w14:textId="36B9D629">
      <w:pPr>
        <w:tabs>
          <w:tab w:val="left" w:pos="-2127"/>
        </w:tabs>
        <w:suppressAutoHyphens/>
        <w:spacing w:line="276" w:lineRule="auto"/>
        <w:jc w:val="both"/>
        <w:rPr>
          <w:rFonts w:ascii="Verdana" w:hAnsi="Verdana" w:cs="Arial"/>
          <w:b/>
          <w:bCs/>
          <w:iCs/>
          <w:spacing w:val="-2"/>
          <w:lang w:val="es-PE"/>
        </w:rPr>
      </w:pPr>
      <w:r w:rsidRPr="00E46F5D">
        <w:rPr>
          <w:rFonts w:ascii="Verdana" w:hAnsi="Verdana" w:cs="Arial"/>
          <w:b/>
          <w:bCs/>
          <w:iCs/>
          <w:spacing w:val="-2"/>
          <w:lang w:val="es-PE"/>
        </w:rPr>
        <w:t>Deepak Nandwani</w:t>
      </w:r>
    </w:p>
    <w:p w:rsidRPr="00E46F5D" w:rsidR="000B1C45" w:rsidP="00514AA7" w:rsidRDefault="00514AA7" w14:paraId="548F490F" w14:textId="5FC2587E">
      <w:pPr>
        <w:tabs>
          <w:tab w:val="left" w:pos="-2127"/>
        </w:tabs>
        <w:suppressAutoHyphens/>
        <w:spacing w:line="276" w:lineRule="auto"/>
        <w:jc w:val="both"/>
        <w:rPr>
          <w:rFonts w:ascii="Verdana" w:hAnsi="Verdana" w:cs="Arial"/>
          <w:b/>
          <w:bCs/>
          <w:iCs/>
          <w:spacing w:val="-2"/>
          <w:lang w:val="es-PE"/>
        </w:rPr>
      </w:pPr>
      <w:r>
        <w:rPr>
          <w:rFonts w:ascii="Verdana" w:hAnsi="Verdana" w:cs="Arial"/>
          <w:bCs/>
          <w:iCs/>
          <w:spacing w:val="-2"/>
          <w:lang w:val="es-PE"/>
        </w:rPr>
        <w:t>Gerente de Experiencia del</w:t>
      </w:r>
      <w:r w:rsidR="00E46F5D">
        <w:rPr>
          <w:rFonts w:ascii="Verdana" w:hAnsi="Verdana" w:cs="Arial"/>
          <w:bCs/>
          <w:iCs/>
          <w:spacing w:val="-2"/>
          <w:lang w:val="es-PE"/>
        </w:rPr>
        <w:t xml:space="preserve"> Cliente</w:t>
      </w:r>
    </w:p>
    <w:p w:rsidRPr="00E46F5D" w:rsidR="00463CF4" w:rsidP="00514AA7" w:rsidRDefault="000B1C45" w14:paraId="78DE37B0" w14:textId="5CBA194A">
      <w:pPr>
        <w:tabs>
          <w:tab w:val="left" w:pos="-2127"/>
        </w:tabs>
        <w:suppressAutoHyphens/>
        <w:spacing w:line="276" w:lineRule="auto"/>
        <w:jc w:val="both"/>
        <w:rPr>
          <w:rFonts w:ascii="Verdana" w:hAnsi="Verdana" w:cs="Arial"/>
          <w:b/>
          <w:bCs/>
          <w:iCs/>
          <w:spacing w:val="-2"/>
          <w:lang w:val="en-US"/>
        </w:rPr>
      </w:pPr>
      <w:r w:rsidRPr="00E46F5D">
        <w:rPr>
          <w:rFonts w:ascii="Verdana" w:hAnsi="Verdana" w:cs="Arial"/>
          <w:bCs/>
          <w:iCs/>
          <w:spacing w:val="-2"/>
          <w:lang w:val="en-US"/>
        </w:rPr>
        <w:t>APM Terminals Callao S.A.</w:t>
      </w:r>
    </w:p>
    <w:sectPr w:rsidRPr="00E46F5D" w:rsidR="00463CF4" w:rsidSect="00A3274F">
      <w:headerReference w:type="default" r:id="rId11"/>
      <w:footerReference w:type="default" r:id="rId12"/>
      <w:pgSz w:w="12240" w:h="15840" w:orient="portrait"/>
      <w:pgMar w:top="1276" w:right="1608"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609" w:rsidP="003A254C" w:rsidRDefault="00F51609" w14:paraId="0CFB906D" w14:textId="77777777">
      <w:r>
        <w:separator/>
      </w:r>
    </w:p>
  </w:endnote>
  <w:endnote w:type="continuationSeparator" w:id="0">
    <w:p w:rsidR="00F51609" w:rsidP="003A254C" w:rsidRDefault="00F51609" w14:paraId="1CC936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590BF9" w:rsidR="00590BF9" w:rsidRDefault="00130D1D" w14:paraId="4792621C" w14:textId="32E37EA4">
    <w:pPr>
      <w:pStyle w:val="Footer"/>
      <w:jc w:val="center"/>
      <w:rPr>
        <w:rFonts w:ascii="Verdana" w:hAnsi="Verdana"/>
        <w:caps/>
        <w:noProof/>
      </w:rPr>
    </w:pPr>
    <w:r>
      <w:rPr>
        <w:rFonts w:ascii="Verdana" w:hAnsi="Verdana"/>
        <w:noProof/>
        <w:lang w:val="es-PE" w:eastAsia="es-PE"/>
      </w:rPr>
      <mc:AlternateContent>
        <mc:Choice Requires="wps">
          <w:drawing>
            <wp:anchor distT="0" distB="0" distL="114300" distR="114300" simplePos="0" relativeHeight="251662336" behindDoc="0" locked="0" layoutInCell="0" allowOverlap="1" wp14:anchorId="5C7E1E49" wp14:editId="7E0CA947">
              <wp:simplePos x="0" y="0"/>
              <wp:positionH relativeFrom="page">
                <wp:posOffset>0</wp:posOffset>
              </wp:positionH>
              <wp:positionV relativeFrom="page">
                <wp:posOffset>9601200</wp:posOffset>
              </wp:positionV>
              <wp:extent cx="7772400" cy="266700"/>
              <wp:effectExtent l="0" t="0" r="0" b="0"/>
              <wp:wrapNone/>
              <wp:docPr id="2" name="MSIPCM51244897b08f5b0420e9d6fa" descr="{&quot;HashCode&quot;:8713258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02338" w:rsidR="00130D1D" w:rsidP="00302338" w:rsidRDefault="00302338" w14:paraId="47C1F7DE" w14:textId="098D3E43">
                          <w:pPr>
                            <w:rPr>
                              <w:rFonts w:ascii="Calibri" w:hAnsi="Calibri" w:cs="Calibri"/>
                              <w:color w:val="000000"/>
                            </w:rPr>
                          </w:pPr>
                          <w:r w:rsidRPr="00302338">
                            <w:rPr>
                              <w:rFonts w:ascii="Calibri" w:hAnsi="Calibri" w:cs="Calibri"/>
                              <w:color w:val="00000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47EADB43">
            <v:shapetype id="_x0000_t202" coordsize="21600,21600" o:spt="202" path="m,l,21600r21600,l21600,xe" w14:anchorId="5C7E1E49">
              <v:stroke joinstyle="miter"/>
              <v:path gradientshapeok="t" o:connecttype="rect"/>
            </v:shapetype>
            <v:shape id="MSIPCM51244897b08f5b0420e9d6fa" style="position:absolute;left:0;text-align:left;margin-left:0;margin-top:756pt;width:612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87132588,&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v:textbox inset="20pt,0,,0">
                <w:txbxContent>
                  <w:p w:rsidRPr="00302338" w:rsidR="00130D1D" w:rsidP="00302338" w:rsidRDefault="00302338" w14:paraId="282AB918" w14:textId="098D3E43">
                    <w:pPr>
                      <w:rPr>
                        <w:rFonts w:ascii="Calibri" w:hAnsi="Calibri" w:cs="Calibri"/>
                        <w:color w:val="000000"/>
                      </w:rPr>
                    </w:pPr>
                    <w:r w:rsidRPr="00302338">
                      <w:rPr>
                        <w:rFonts w:ascii="Calibri" w:hAnsi="Calibri" w:cs="Calibri"/>
                        <w:color w:val="000000"/>
                      </w:rPr>
                      <w:t>Classification: Internal</w:t>
                    </w:r>
                  </w:p>
                </w:txbxContent>
              </v:textbox>
              <w10:wrap anchorx="page" anchory="page"/>
            </v:shape>
          </w:pict>
        </mc:Fallback>
      </mc:AlternateContent>
    </w:r>
    <w:r w:rsidRPr="00590BF9" w:rsidR="00590BF9">
      <w:rPr>
        <w:rFonts w:ascii="Verdana" w:hAnsi="Verdana"/>
        <w:noProof/>
        <w:lang w:val="es-PE" w:eastAsia="es-PE"/>
      </w:rPr>
      <w:drawing>
        <wp:anchor distT="0" distB="0" distL="114300" distR="114300" simplePos="0" relativeHeight="251661312" behindDoc="0" locked="0" layoutInCell="1" allowOverlap="1" wp14:anchorId="55EB2C5E" wp14:editId="1326F465">
          <wp:simplePos x="0" y="0"/>
          <wp:positionH relativeFrom="margin">
            <wp:posOffset>-147955</wp:posOffset>
          </wp:positionH>
          <wp:positionV relativeFrom="paragraph">
            <wp:posOffset>-345097</wp:posOffset>
          </wp:positionV>
          <wp:extent cx="1466850" cy="5822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2295"/>
                  </a:xfrm>
                  <a:prstGeom prst="rect">
                    <a:avLst/>
                  </a:prstGeom>
                  <a:noFill/>
                </pic:spPr>
              </pic:pic>
            </a:graphicData>
          </a:graphic>
          <wp14:sizeRelH relativeFrom="page">
            <wp14:pctWidth>0</wp14:pctWidth>
          </wp14:sizeRelH>
          <wp14:sizeRelV relativeFrom="page">
            <wp14:pctHeight>0</wp14:pctHeight>
          </wp14:sizeRelV>
        </wp:anchor>
      </w:drawing>
    </w:r>
    <w:r w:rsidRPr="00590BF9" w:rsidR="00590BF9">
      <w:rPr>
        <w:rFonts w:ascii="Verdana" w:hAnsi="Verdana"/>
        <w:caps/>
      </w:rPr>
      <w:fldChar w:fldCharType="begin"/>
    </w:r>
    <w:r w:rsidRPr="00590BF9" w:rsidR="00590BF9">
      <w:rPr>
        <w:rFonts w:ascii="Verdana" w:hAnsi="Verdana"/>
        <w:caps/>
      </w:rPr>
      <w:instrText xml:space="preserve"> PAGE   \* MERGEFORMAT </w:instrText>
    </w:r>
    <w:r w:rsidRPr="00590BF9" w:rsidR="00590BF9">
      <w:rPr>
        <w:rFonts w:ascii="Verdana" w:hAnsi="Verdana"/>
        <w:caps/>
      </w:rPr>
      <w:fldChar w:fldCharType="separate"/>
    </w:r>
    <w:r w:rsidR="00F160A3">
      <w:rPr>
        <w:rFonts w:ascii="Verdana" w:hAnsi="Verdana"/>
        <w:caps/>
        <w:noProof/>
      </w:rPr>
      <w:t>1</w:t>
    </w:r>
    <w:r w:rsidRPr="00590BF9" w:rsidR="00590BF9">
      <w:rPr>
        <w:rFonts w:ascii="Verdana" w:hAnsi="Verdana"/>
        <w:caps/>
        <w:noProof/>
      </w:rPr>
      <w:fldChar w:fldCharType="end"/>
    </w:r>
  </w:p>
  <w:p w:rsidR="00C07A64" w:rsidRDefault="00C07A64" w14:paraId="7570AF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609" w:rsidP="003A254C" w:rsidRDefault="00F51609" w14:paraId="19FE2AAE" w14:textId="77777777">
      <w:r>
        <w:separator/>
      </w:r>
    </w:p>
  </w:footnote>
  <w:footnote w:type="continuationSeparator" w:id="0">
    <w:p w:rsidR="00F51609" w:rsidP="003A254C" w:rsidRDefault="00F51609" w14:paraId="205F9503" w14:textId="77777777">
      <w:r>
        <w:continuationSeparator/>
      </w:r>
    </w:p>
  </w:footnote>
  <w:footnote w:id="1">
    <w:p w:rsidR="005B51A5" w:rsidP="005B51A5" w:rsidRDefault="005B51A5" w14:paraId="022659F2" w14:textId="77777777">
      <w:pPr>
        <w:pStyle w:val="FootnoteText"/>
        <w:rPr>
          <w:rFonts w:ascii="Verdana" w:hAnsi="Verdana"/>
          <w:b/>
          <w:sz w:val="16"/>
          <w:szCs w:val="16"/>
          <w:lang w:val="es-PE"/>
        </w:rPr>
      </w:pPr>
      <w:r>
        <w:rPr>
          <w:rStyle w:val="FootnoteReference"/>
        </w:rPr>
        <w:footnoteRef/>
      </w:r>
      <w:r>
        <w:rPr>
          <w:lang w:val="es-PE"/>
        </w:rPr>
        <w:t xml:space="preserve"> </w:t>
      </w:r>
      <w:r>
        <w:rPr>
          <w:rFonts w:ascii="Verdana" w:hAnsi="Verdana"/>
          <w:b/>
          <w:sz w:val="16"/>
          <w:szCs w:val="16"/>
          <w:lang w:val="es-PE"/>
        </w:rPr>
        <w:t>Reglamento de Atención y Solución de Reclamos de Usuarios</w:t>
      </w:r>
    </w:p>
    <w:p w:rsidR="005B51A5" w:rsidP="005B51A5" w:rsidRDefault="005B51A5" w14:paraId="14555828" w14:textId="77777777">
      <w:pPr>
        <w:pStyle w:val="FootnoteText"/>
        <w:jc w:val="both"/>
        <w:rPr>
          <w:rFonts w:ascii="Verdana" w:hAnsi="Verdana"/>
          <w:i/>
          <w:sz w:val="16"/>
          <w:szCs w:val="16"/>
          <w:lang w:val="es-PE"/>
        </w:rPr>
      </w:pPr>
      <w:r>
        <w:rPr>
          <w:rFonts w:ascii="Verdana" w:hAnsi="Verdana"/>
          <w:i/>
          <w:sz w:val="16"/>
          <w:szCs w:val="16"/>
          <w:lang w:val="es-PE"/>
        </w:rPr>
        <w:t>“</w:t>
      </w:r>
      <w:r>
        <w:rPr>
          <w:rFonts w:ascii="Verdana" w:hAnsi="Verdana"/>
          <w:b/>
          <w:i/>
          <w:sz w:val="16"/>
          <w:szCs w:val="16"/>
          <w:lang w:val="es-PE"/>
        </w:rPr>
        <w:t>3.1.1 Recurso de Reconsideración</w:t>
      </w:r>
    </w:p>
    <w:p w:rsidR="005B51A5" w:rsidP="005B51A5" w:rsidRDefault="005B51A5" w14:paraId="2923B5B3" w14:textId="77777777">
      <w:pPr>
        <w:pStyle w:val="FootnoteText"/>
        <w:jc w:val="both"/>
        <w:rPr>
          <w:rFonts w:ascii="Verdana" w:hAnsi="Verdana"/>
          <w:i/>
          <w:sz w:val="16"/>
          <w:szCs w:val="16"/>
          <w:lang w:val="es-PE"/>
        </w:rPr>
      </w:pPr>
      <w:r>
        <w:rPr>
          <w:rFonts w:ascii="Verdana" w:hAnsi="Verdana"/>
          <w:i/>
          <w:sz w:val="16"/>
          <w:szCs w:val="16"/>
          <w:lang w:val="es-PE"/>
        </w:rPr>
        <w:t xml:space="preserve">Contra la resolución emitida por APM TERMINALS CALLAO S.A. procede la interposición de recurso de reconsideración dentro del plazo de quince (15) días de notificada la resolución. La sustentación de este requisito se hará con la presentación de nueva prueba. Este recurso es opcional por lo que su no interposición no impide la presentación del recurso de apelación. APM TERMINALS CALLAO S.A. se pronunciará en el plazo de veinte (20) días siguientes desde su admisión a trámite. Vencido dicho plazo, y de no existir acto resolutivo se aplicará el silencio administrativo positivo. </w:t>
      </w:r>
    </w:p>
    <w:p w:rsidR="005B51A5" w:rsidP="005B51A5" w:rsidRDefault="005B51A5" w14:paraId="59FE633A" w14:textId="77777777">
      <w:pPr>
        <w:pStyle w:val="FootnoteText"/>
        <w:jc w:val="both"/>
        <w:rPr>
          <w:rFonts w:ascii="Verdana" w:hAnsi="Verdana"/>
          <w:i/>
          <w:sz w:val="16"/>
          <w:szCs w:val="16"/>
          <w:lang w:val="es-PE"/>
        </w:rPr>
      </w:pPr>
      <w:r>
        <w:rPr>
          <w:rFonts w:ascii="Verdana" w:hAnsi="Verdana"/>
          <w:b/>
          <w:i/>
          <w:sz w:val="16"/>
          <w:szCs w:val="16"/>
          <w:lang w:val="es-PE"/>
        </w:rPr>
        <w:t>3.1.2 Recurso de Apelación</w:t>
      </w:r>
    </w:p>
    <w:p w:rsidR="005B51A5" w:rsidP="005B51A5" w:rsidRDefault="005B51A5" w14:paraId="0F3181B0" w14:textId="77777777">
      <w:pPr>
        <w:pStyle w:val="FootnoteText"/>
        <w:jc w:val="both"/>
        <w:rPr>
          <w:i/>
          <w:lang w:val="es-PE"/>
        </w:rPr>
      </w:pPr>
      <w:r>
        <w:rPr>
          <w:rFonts w:ascii="Verdana" w:hAnsi="Verdana"/>
          <w:i/>
          <w:sz w:val="16"/>
          <w:szCs w:val="16"/>
          <w:lang w:val="es-PE"/>
        </w:rPr>
        <w:t>Contra la resolución emitida por APM TERMINALS CALLAO S.A., procede la interposición de recurso de apelación. El recurso de apelación deberá interponerse ante APM TERMINALS CALLAO S.A. dentro del plazo de quince (15) días de notificada la resolución. Cualquiera de las partes en el procedimiento podrá interponer cuando la impugnación se sustente en una diferente interpretación de las pruebas producidas o cuando se trate de cuestiones de puro derecho, o se sustente en una nulidad; o en aquellos casos en que proceda el silencio administrativo negativo; o cuando teniendo una nueva prueba, no se opte por el recurso de reconsideración.”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07A64" w:rsidRDefault="00C07A64" w14:paraId="373718AB" w14:textId="4D80900D">
    <w:pPr>
      <w:pStyle w:val="Header"/>
    </w:pPr>
    <w:r>
      <w:rPr>
        <w:noProof/>
        <w:color w:val="0000FF"/>
        <w:lang w:val="es-PE" w:eastAsia="es-PE"/>
      </w:rPr>
      <w:drawing>
        <wp:anchor distT="0" distB="0" distL="114300" distR="114300" simplePos="0" relativeHeight="251659264" behindDoc="1" locked="0" layoutInCell="1" allowOverlap="1" wp14:anchorId="5D7ACB50" wp14:editId="6347339B">
          <wp:simplePos x="0" y="0"/>
          <wp:positionH relativeFrom="column">
            <wp:posOffset>-17145</wp:posOffset>
          </wp:positionH>
          <wp:positionV relativeFrom="paragraph">
            <wp:posOffset>-18306</wp:posOffset>
          </wp:positionV>
          <wp:extent cx="3134995" cy="248285"/>
          <wp:effectExtent l="0" t="0" r="8255" b="0"/>
          <wp:wrapThrough wrapText="bothSides">
            <wp:wrapPolygon edited="0">
              <wp:start x="0" y="0"/>
              <wp:lineTo x="0" y="19887"/>
              <wp:lineTo x="21526" y="19887"/>
              <wp:lineTo x="21526" y="0"/>
              <wp:lineTo x="0" y="0"/>
            </wp:wrapPolygon>
          </wp:wrapThrough>
          <wp:docPr id="1" name="Picture 1" descr="http://www.ship.gr/news6/apm2.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p.gr/news6/apm2.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34995" cy="2482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7A64" w:rsidRDefault="00C07A64" w14:paraId="24C31744" w14:textId="43C1BFB5">
    <w:pPr>
      <w:pStyle w:val="Header"/>
    </w:pPr>
  </w:p>
  <w:p w:rsidR="00CE6DCF" w:rsidRDefault="00CE6DCF" w14:paraId="0462828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AF6379"/>
    <w:multiLevelType w:val="hybridMultilevel"/>
    <w:tmpl w:val="73C0F0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5E69BA4"/>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10497774"/>
    <w:multiLevelType w:val="hybridMultilevel"/>
    <w:tmpl w:val="8D30EC02"/>
    <w:lvl w:ilvl="0" w:tplc="9E964DC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70745"/>
    <w:multiLevelType w:val="multilevel"/>
    <w:tmpl w:val="38A0DF84"/>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hint="default"/>
        <w:b/>
        <w:lang w:val="es-P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A96304"/>
    <w:multiLevelType w:val="multilevel"/>
    <w:tmpl w:val="B742FC7E"/>
    <w:lvl w:ilvl="0">
      <w:start w:val="1"/>
      <w:numFmt w:val="decimal"/>
      <w:lvlText w:val="%1"/>
      <w:lvlJc w:val="left"/>
      <w:pPr>
        <w:ind w:left="360" w:hanging="360"/>
      </w:pPr>
    </w:lvl>
    <w:lvl w:ilvl="1">
      <w:start w:val="1"/>
      <w:numFmt w:val="decimal"/>
      <w:lvlText w:val="%1.%2"/>
      <w:lvlJc w:val="left"/>
      <w:pPr>
        <w:ind w:left="152" w:hanging="720"/>
      </w:pPr>
      <w:rPr>
        <w:b w:val="0"/>
      </w:rPr>
    </w:lvl>
    <w:lvl w:ilvl="2">
      <w:start w:val="1"/>
      <w:numFmt w:val="decimal"/>
      <w:lvlText w:val="%1.%2.%3"/>
      <w:lvlJc w:val="left"/>
      <w:pPr>
        <w:ind w:left="-416" w:hanging="720"/>
      </w:pPr>
    </w:lvl>
    <w:lvl w:ilvl="3">
      <w:start w:val="1"/>
      <w:numFmt w:val="decimal"/>
      <w:lvlText w:val="%1.%2.%3.%4"/>
      <w:lvlJc w:val="left"/>
      <w:pPr>
        <w:ind w:left="-624" w:hanging="1080"/>
      </w:pPr>
    </w:lvl>
    <w:lvl w:ilvl="4">
      <w:start w:val="1"/>
      <w:numFmt w:val="decimal"/>
      <w:lvlText w:val="%1.%2.%3.%4.%5"/>
      <w:lvlJc w:val="left"/>
      <w:pPr>
        <w:ind w:left="-1192" w:hanging="1080"/>
      </w:pPr>
    </w:lvl>
    <w:lvl w:ilvl="5">
      <w:start w:val="1"/>
      <w:numFmt w:val="decimal"/>
      <w:lvlText w:val="%1.%2.%3.%4.%5.%6"/>
      <w:lvlJc w:val="left"/>
      <w:pPr>
        <w:ind w:left="-1400" w:hanging="1440"/>
      </w:pPr>
    </w:lvl>
    <w:lvl w:ilvl="6">
      <w:start w:val="1"/>
      <w:numFmt w:val="decimal"/>
      <w:lvlText w:val="%1.%2.%3.%4.%5.%6.%7"/>
      <w:lvlJc w:val="left"/>
      <w:pPr>
        <w:ind w:left="-1608" w:hanging="1800"/>
      </w:pPr>
    </w:lvl>
    <w:lvl w:ilvl="7">
      <w:start w:val="1"/>
      <w:numFmt w:val="decimal"/>
      <w:lvlText w:val="%1.%2.%3.%4.%5.%6.%7.%8"/>
      <w:lvlJc w:val="left"/>
      <w:pPr>
        <w:ind w:left="-2176" w:hanging="1800"/>
      </w:pPr>
    </w:lvl>
    <w:lvl w:ilvl="8">
      <w:start w:val="1"/>
      <w:numFmt w:val="decimal"/>
      <w:lvlText w:val="%1.%2.%3.%4.%5.%6.%7.%8.%9"/>
      <w:lvlJc w:val="left"/>
      <w:pPr>
        <w:ind w:left="-2384" w:hanging="2160"/>
      </w:pPr>
    </w:lvl>
  </w:abstractNum>
  <w:abstractNum w:abstractNumId="5" w15:restartNumberingAfterBreak="0">
    <w:nsid w:val="18791BC3"/>
    <w:multiLevelType w:val="hybridMultilevel"/>
    <w:tmpl w:val="4C5A7C04"/>
    <w:lvl w:ilvl="0" w:tplc="136C62FA">
      <w:start w:val="1"/>
      <w:numFmt w:val="decimal"/>
      <w:lvlText w:val="2.2.%1."/>
      <w:lvlJc w:val="left"/>
      <w:pPr>
        <w:ind w:left="1429"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9794521"/>
    <w:multiLevelType w:val="hybridMultilevel"/>
    <w:tmpl w:val="93EAED8E"/>
    <w:lvl w:ilvl="0" w:tplc="C4464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DD4B7B"/>
    <w:multiLevelType w:val="hybridMultilevel"/>
    <w:tmpl w:val="E0A0D7BE"/>
    <w:lvl w:ilvl="0" w:tplc="59AEC780">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98D5200"/>
    <w:multiLevelType w:val="multilevel"/>
    <w:tmpl w:val="A55A0C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B993739"/>
    <w:multiLevelType w:val="hybridMultilevel"/>
    <w:tmpl w:val="C7E8BA4C"/>
    <w:lvl w:ilvl="0" w:tplc="EB5E02DA">
      <w:numFmt w:val="bullet"/>
      <w:lvlText w:val="-"/>
      <w:lvlJc w:val="left"/>
      <w:pPr>
        <w:ind w:left="720" w:hanging="360"/>
      </w:pPr>
      <w:rPr>
        <w:rFonts w:hint="default" w:ascii="Verdana" w:hAnsi="Verdana" w:eastAsia="Times New Roman" w:cs="Calibr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0" w15:restartNumberingAfterBreak="0">
    <w:nsid w:val="649D37E8"/>
    <w:multiLevelType w:val="multilevel"/>
    <w:tmpl w:val="1D324FB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5426269"/>
    <w:multiLevelType w:val="hybridMultilevel"/>
    <w:tmpl w:val="6756D976"/>
    <w:lvl w:ilvl="0" w:tplc="280A0005">
      <w:start w:val="1"/>
      <w:numFmt w:val="bullet"/>
      <w:lvlText w:val=""/>
      <w:lvlJc w:val="left"/>
      <w:pPr>
        <w:ind w:left="1287" w:hanging="360"/>
      </w:pPr>
      <w:rPr>
        <w:rFonts w:hint="default" w:ascii="Wingdings" w:hAnsi="Wingdings"/>
      </w:rPr>
    </w:lvl>
    <w:lvl w:ilvl="1" w:tplc="280A0003" w:tentative="1">
      <w:start w:val="1"/>
      <w:numFmt w:val="bullet"/>
      <w:lvlText w:val="o"/>
      <w:lvlJc w:val="left"/>
      <w:pPr>
        <w:ind w:left="2007" w:hanging="360"/>
      </w:pPr>
      <w:rPr>
        <w:rFonts w:hint="default" w:ascii="Courier New" w:hAnsi="Courier New" w:cs="Courier New"/>
      </w:rPr>
    </w:lvl>
    <w:lvl w:ilvl="2" w:tplc="280A0005" w:tentative="1">
      <w:start w:val="1"/>
      <w:numFmt w:val="bullet"/>
      <w:lvlText w:val=""/>
      <w:lvlJc w:val="left"/>
      <w:pPr>
        <w:ind w:left="2727" w:hanging="360"/>
      </w:pPr>
      <w:rPr>
        <w:rFonts w:hint="default" w:ascii="Wingdings" w:hAnsi="Wingdings"/>
      </w:rPr>
    </w:lvl>
    <w:lvl w:ilvl="3" w:tplc="280A0001" w:tentative="1">
      <w:start w:val="1"/>
      <w:numFmt w:val="bullet"/>
      <w:lvlText w:val=""/>
      <w:lvlJc w:val="left"/>
      <w:pPr>
        <w:ind w:left="3447" w:hanging="360"/>
      </w:pPr>
      <w:rPr>
        <w:rFonts w:hint="default" w:ascii="Symbol" w:hAnsi="Symbol"/>
      </w:rPr>
    </w:lvl>
    <w:lvl w:ilvl="4" w:tplc="280A0003" w:tentative="1">
      <w:start w:val="1"/>
      <w:numFmt w:val="bullet"/>
      <w:lvlText w:val="o"/>
      <w:lvlJc w:val="left"/>
      <w:pPr>
        <w:ind w:left="4167" w:hanging="360"/>
      </w:pPr>
      <w:rPr>
        <w:rFonts w:hint="default" w:ascii="Courier New" w:hAnsi="Courier New" w:cs="Courier New"/>
      </w:rPr>
    </w:lvl>
    <w:lvl w:ilvl="5" w:tplc="280A0005" w:tentative="1">
      <w:start w:val="1"/>
      <w:numFmt w:val="bullet"/>
      <w:lvlText w:val=""/>
      <w:lvlJc w:val="left"/>
      <w:pPr>
        <w:ind w:left="4887" w:hanging="360"/>
      </w:pPr>
      <w:rPr>
        <w:rFonts w:hint="default" w:ascii="Wingdings" w:hAnsi="Wingdings"/>
      </w:rPr>
    </w:lvl>
    <w:lvl w:ilvl="6" w:tplc="280A0001" w:tentative="1">
      <w:start w:val="1"/>
      <w:numFmt w:val="bullet"/>
      <w:lvlText w:val=""/>
      <w:lvlJc w:val="left"/>
      <w:pPr>
        <w:ind w:left="5607" w:hanging="360"/>
      </w:pPr>
      <w:rPr>
        <w:rFonts w:hint="default" w:ascii="Symbol" w:hAnsi="Symbol"/>
      </w:rPr>
    </w:lvl>
    <w:lvl w:ilvl="7" w:tplc="280A0003" w:tentative="1">
      <w:start w:val="1"/>
      <w:numFmt w:val="bullet"/>
      <w:lvlText w:val="o"/>
      <w:lvlJc w:val="left"/>
      <w:pPr>
        <w:ind w:left="6327" w:hanging="360"/>
      </w:pPr>
      <w:rPr>
        <w:rFonts w:hint="default" w:ascii="Courier New" w:hAnsi="Courier New" w:cs="Courier New"/>
      </w:rPr>
    </w:lvl>
    <w:lvl w:ilvl="8" w:tplc="280A0005" w:tentative="1">
      <w:start w:val="1"/>
      <w:numFmt w:val="bullet"/>
      <w:lvlText w:val=""/>
      <w:lvlJc w:val="left"/>
      <w:pPr>
        <w:ind w:left="7047" w:hanging="360"/>
      </w:pPr>
      <w:rPr>
        <w:rFonts w:hint="default" w:ascii="Wingdings" w:hAnsi="Wingdings"/>
      </w:rPr>
    </w:lvl>
  </w:abstractNum>
  <w:abstractNum w:abstractNumId="12" w15:restartNumberingAfterBreak="0">
    <w:nsid w:val="6C111498"/>
    <w:multiLevelType w:val="hybridMultilevel"/>
    <w:tmpl w:val="750E3342"/>
    <w:lvl w:ilvl="0" w:tplc="4E58F01E">
      <w:start w:val="1"/>
      <w:numFmt w:val="lowerRoman"/>
      <w:lvlText w:val="%1)"/>
      <w:lvlJc w:val="left"/>
      <w:pPr>
        <w:ind w:left="1440" w:hanging="720"/>
      </w:pPr>
      <w:rPr>
        <w:rFonts w:hint="default" w:cs="Times New Roman"/>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F4A4A55"/>
    <w:multiLevelType w:val="hybridMultilevel"/>
    <w:tmpl w:val="AAD2E118"/>
    <w:lvl w:ilvl="0" w:tplc="FB36D7EC">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4" w15:restartNumberingAfterBreak="0">
    <w:nsid w:val="70720378"/>
    <w:multiLevelType w:val="hybridMultilevel"/>
    <w:tmpl w:val="95788558"/>
    <w:lvl w:ilvl="0" w:tplc="321A89A0">
      <w:start w:val="1"/>
      <w:numFmt w:val="decimal"/>
      <w:lvlText w:val="2.2.%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A666B9C"/>
    <w:multiLevelType w:val="multilevel"/>
    <w:tmpl w:val="100C0B6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D0736A9"/>
    <w:multiLevelType w:val="hybridMultilevel"/>
    <w:tmpl w:val="484C02BC"/>
    <w:lvl w:ilvl="0" w:tplc="59AEC780">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28042582">
    <w:abstractNumId w:val="3"/>
  </w:num>
  <w:num w:numId="2" w16cid:durableId="63990026">
    <w:abstractNumId w:val="1"/>
  </w:num>
  <w:num w:numId="3" w16cid:durableId="772819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8432737">
    <w:abstractNumId w:val="5"/>
  </w:num>
  <w:num w:numId="5" w16cid:durableId="771828621">
    <w:abstractNumId w:val="13"/>
  </w:num>
  <w:num w:numId="6" w16cid:durableId="1447312625">
    <w:abstractNumId w:val="0"/>
  </w:num>
  <w:num w:numId="7" w16cid:durableId="1335181902">
    <w:abstractNumId w:val="16"/>
  </w:num>
  <w:num w:numId="8" w16cid:durableId="2000889198">
    <w:abstractNumId w:val="6"/>
  </w:num>
  <w:num w:numId="9" w16cid:durableId="1528641018">
    <w:abstractNumId w:val="2"/>
  </w:num>
  <w:num w:numId="10" w16cid:durableId="2274253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55010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5585405">
    <w:abstractNumId w:val="9"/>
  </w:num>
  <w:num w:numId="13" w16cid:durableId="461852005">
    <w:abstractNumId w:val="12"/>
  </w:num>
  <w:num w:numId="14" w16cid:durableId="1345984981">
    <w:abstractNumId w:val="11"/>
  </w:num>
  <w:num w:numId="15" w16cid:durableId="727849490">
    <w:abstractNumId w:val="14"/>
  </w:num>
  <w:num w:numId="16" w16cid:durableId="522980505">
    <w:abstractNumId w:val="7"/>
  </w:num>
  <w:num w:numId="17" w16cid:durableId="947467023">
    <w:abstractNumId w:val="15"/>
  </w:num>
  <w:num w:numId="18" w16cid:durableId="672490993">
    <w:abstractNumId w:val="8"/>
  </w:num>
  <w:num w:numId="19" w16cid:durableId="1681934503">
    <w:abstractNumId w:val="10"/>
  </w:num>
  <w:num w:numId="20" w16cid:durableId="176970834">
    <w:abstractNumId w:val="0"/>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33"/>
    <w:rsid w:val="0000351C"/>
    <w:rsid w:val="00012AFF"/>
    <w:rsid w:val="0001426E"/>
    <w:rsid w:val="00014D01"/>
    <w:rsid w:val="00016F47"/>
    <w:rsid w:val="00017742"/>
    <w:rsid w:val="00020A58"/>
    <w:rsid w:val="00023987"/>
    <w:rsid w:val="00024EEE"/>
    <w:rsid w:val="00026268"/>
    <w:rsid w:val="00026795"/>
    <w:rsid w:val="0002715A"/>
    <w:rsid w:val="00027A45"/>
    <w:rsid w:val="00030A0D"/>
    <w:rsid w:val="00032E51"/>
    <w:rsid w:val="00036422"/>
    <w:rsid w:val="00037532"/>
    <w:rsid w:val="00037A02"/>
    <w:rsid w:val="00040C98"/>
    <w:rsid w:val="00040FBB"/>
    <w:rsid w:val="00041306"/>
    <w:rsid w:val="00042CD1"/>
    <w:rsid w:val="0004349C"/>
    <w:rsid w:val="00044BC5"/>
    <w:rsid w:val="00044C13"/>
    <w:rsid w:val="000479D2"/>
    <w:rsid w:val="00047D12"/>
    <w:rsid w:val="000503A8"/>
    <w:rsid w:val="00050C21"/>
    <w:rsid w:val="00051068"/>
    <w:rsid w:val="00053B7B"/>
    <w:rsid w:val="00053CF8"/>
    <w:rsid w:val="00056A6B"/>
    <w:rsid w:val="0006063F"/>
    <w:rsid w:val="00073E54"/>
    <w:rsid w:val="0008542C"/>
    <w:rsid w:val="000900EF"/>
    <w:rsid w:val="00091725"/>
    <w:rsid w:val="000918A8"/>
    <w:rsid w:val="00091DA3"/>
    <w:rsid w:val="000A01A5"/>
    <w:rsid w:val="000A3345"/>
    <w:rsid w:val="000A3DD1"/>
    <w:rsid w:val="000A57C4"/>
    <w:rsid w:val="000A65EC"/>
    <w:rsid w:val="000B0A56"/>
    <w:rsid w:val="000B1C45"/>
    <w:rsid w:val="000B54EF"/>
    <w:rsid w:val="000B7832"/>
    <w:rsid w:val="000C0AFF"/>
    <w:rsid w:val="000C1732"/>
    <w:rsid w:val="000C28B7"/>
    <w:rsid w:val="000C415E"/>
    <w:rsid w:val="000C602E"/>
    <w:rsid w:val="000C6532"/>
    <w:rsid w:val="000D013A"/>
    <w:rsid w:val="000D0951"/>
    <w:rsid w:val="000D48FC"/>
    <w:rsid w:val="000D54A2"/>
    <w:rsid w:val="000D5AA0"/>
    <w:rsid w:val="000D761E"/>
    <w:rsid w:val="000E0B10"/>
    <w:rsid w:val="000E2634"/>
    <w:rsid w:val="000E3BC4"/>
    <w:rsid w:val="000E3C24"/>
    <w:rsid w:val="000F137F"/>
    <w:rsid w:val="000F2CE1"/>
    <w:rsid w:val="000F6A37"/>
    <w:rsid w:val="000F6B7F"/>
    <w:rsid w:val="000F7C47"/>
    <w:rsid w:val="00100050"/>
    <w:rsid w:val="00101BF5"/>
    <w:rsid w:val="00105A8C"/>
    <w:rsid w:val="0010640B"/>
    <w:rsid w:val="00107997"/>
    <w:rsid w:val="00115D99"/>
    <w:rsid w:val="0012053F"/>
    <w:rsid w:val="001242F5"/>
    <w:rsid w:val="00125647"/>
    <w:rsid w:val="00127092"/>
    <w:rsid w:val="001271E5"/>
    <w:rsid w:val="00130D1D"/>
    <w:rsid w:val="00131C3A"/>
    <w:rsid w:val="001320BA"/>
    <w:rsid w:val="001358C7"/>
    <w:rsid w:val="00136140"/>
    <w:rsid w:val="00136603"/>
    <w:rsid w:val="00136AD9"/>
    <w:rsid w:val="00137882"/>
    <w:rsid w:val="001417BC"/>
    <w:rsid w:val="00144B04"/>
    <w:rsid w:val="00147A73"/>
    <w:rsid w:val="001504A4"/>
    <w:rsid w:val="00150837"/>
    <w:rsid w:val="00151861"/>
    <w:rsid w:val="001539BC"/>
    <w:rsid w:val="00154B6A"/>
    <w:rsid w:val="00157333"/>
    <w:rsid w:val="0016459F"/>
    <w:rsid w:val="001648C1"/>
    <w:rsid w:val="001709CC"/>
    <w:rsid w:val="00172F89"/>
    <w:rsid w:val="00174576"/>
    <w:rsid w:val="00175F4F"/>
    <w:rsid w:val="00180008"/>
    <w:rsid w:val="00180323"/>
    <w:rsid w:val="00180356"/>
    <w:rsid w:val="00180F33"/>
    <w:rsid w:val="001815DB"/>
    <w:rsid w:val="00190037"/>
    <w:rsid w:val="001901DC"/>
    <w:rsid w:val="00195A2E"/>
    <w:rsid w:val="00196B17"/>
    <w:rsid w:val="00196C53"/>
    <w:rsid w:val="001A64AA"/>
    <w:rsid w:val="001B5E0B"/>
    <w:rsid w:val="001B647F"/>
    <w:rsid w:val="001B6E17"/>
    <w:rsid w:val="001B733B"/>
    <w:rsid w:val="001C0B84"/>
    <w:rsid w:val="001C14BE"/>
    <w:rsid w:val="001C2E62"/>
    <w:rsid w:val="001C4328"/>
    <w:rsid w:val="001D1DC5"/>
    <w:rsid w:val="001D1F03"/>
    <w:rsid w:val="001E1BCA"/>
    <w:rsid w:val="001F25E8"/>
    <w:rsid w:val="001F297F"/>
    <w:rsid w:val="001F4C79"/>
    <w:rsid w:val="001F5AD5"/>
    <w:rsid w:val="001F60A7"/>
    <w:rsid w:val="002059F6"/>
    <w:rsid w:val="00206B21"/>
    <w:rsid w:val="00210590"/>
    <w:rsid w:val="00212DAA"/>
    <w:rsid w:val="0021489E"/>
    <w:rsid w:val="00215B9E"/>
    <w:rsid w:val="002241BC"/>
    <w:rsid w:val="002257E1"/>
    <w:rsid w:val="00226EE5"/>
    <w:rsid w:val="00230A39"/>
    <w:rsid w:val="00230BBB"/>
    <w:rsid w:val="00233A1B"/>
    <w:rsid w:val="002344F5"/>
    <w:rsid w:val="00235FF7"/>
    <w:rsid w:val="002411D9"/>
    <w:rsid w:val="002438E1"/>
    <w:rsid w:val="00246D22"/>
    <w:rsid w:val="00250375"/>
    <w:rsid w:val="00251742"/>
    <w:rsid w:val="0025307E"/>
    <w:rsid w:val="00254BF9"/>
    <w:rsid w:val="00261DF1"/>
    <w:rsid w:val="00264FE3"/>
    <w:rsid w:val="00270E3F"/>
    <w:rsid w:val="00273335"/>
    <w:rsid w:val="00274A7F"/>
    <w:rsid w:val="00275ADC"/>
    <w:rsid w:val="00277428"/>
    <w:rsid w:val="00277B59"/>
    <w:rsid w:val="00280311"/>
    <w:rsid w:val="00280DF6"/>
    <w:rsid w:val="00281EA2"/>
    <w:rsid w:val="002828F6"/>
    <w:rsid w:val="00283621"/>
    <w:rsid w:val="00285A2D"/>
    <w:rsid w:val="00285A7B"/>
    <w:rsid w:val="00286B4B"/>
    <w:rsid w:val="002912E9"/>
    <w:rsid w:val="00291CB9"/>
    <w:rsid w:val="002942FE"/>
    <w:rsid w:val="0029592F"/>
    <w:rsid w:val="00296767"/>
    <w:rsid w:val="002A18F0"/>
    <w:rsid w:val="002A1F9D"/>
    <w:rsid w:val="002B0920"/>
    <w:rsid w:val="002B1548"/>
    <w:rsid w:val="002B2BD1"/>
    <w:rsid w:val="002B2DED"/>
    <w:rsid w:val="002B333E"/>
    <w:rsid w:val="002B43D4"/>
    <w:rsid w:val="002B4FD0"/>
    <w:rsid w:val="002B6819"/>
    <w:rsid w:val="002B7AE7"/>
    <w:rsid w:val="002B7E2E"/>
    <w:rsid w:val="002C0FCA"/>
    <w:rsid w:val="002C3FC1"/>
    <w:rsid w:val="002C4F70"/>
    <w:rsid w:val="002C64CC"/>
    <w:rsid w:val="002D16FA"/>
    <w:rsid w:val="002D22F5"/>
    <w:rsid w:val="002D25DD"/>
    <w:rsid w:val="002D328C"/>
    <w:rsid w:val="002D3A16"/>
    <w:rsid w:val="002D3F9A"/>
    <w:rsid w:val="002D68D8"/>
    <w:rsid w:val="002D706D"/>
    <w:rsid w:val="002D72DE"/>
    <w:rsid w:val="002D79AC"/>
    <w:rsid w:val="002E090A"/>
    <w:rsid w:val="002E0AD6"/>
    <w:rsid w:val="002E1431"/>
    <w:rsid w:val="002E4D2B"/>
    <w:rsid w:val="002E5E5E"/>
    <w:rsid w:val="002E7886"/>
    <w:rsid w:val="002F1B3D"/>
    <w:rsid w:val="002F3BD4"/>
    <w:rsid w:val="002F40DA"/>
    <w:rsid w:val="002F4786"/>
    <w:rsid w:val="002F4C8C"/>
    <w:rsid w:val="002F50F2"/>
    <w:rsid w:val="002F73CF"/>
    <w:rsid w:val="00302338"/>
    <w:rsid w:val="00302EF7"/>
    <w:rsid w:val="003059C9"/>
    <w:rsid w:val="0030610C"/>
    <w:rsid w:val="00311C7C"/>
    <w:rsid w:val="003122DD"/>
    <w:rsid w:val="0031464E"/>
    <w:rsid w:val="00315919"/>
    <w:rsid w:val="003214E3"/>
    <w:rsid w:val="00324EC3"/>
    <w:rsid w:val="00326ECA"/>
    <w:rsid w:val="00326F65"/>
    <w:rsid w:val="003273F5"/>
    <w:rsid w:val="00333E75"/>
    <w:rsid w:val="00334922"/>
    <w:rsid w:val="003362BB"/>
    <w:rsid w:val="0033710F"/>
    <w:rsid w:val="0034003E"/>
    <w:rsid w:val="00340475"/>
    <w:rsid w:val="00340F6A"/>
    <w:rsid w:val="003426CE"/>
    <w:rsid w:val="003431DA"/>
    <w:rsid w:val="00343C61"/>
    <w:rsid w:val="00344552"/>
    <w:rsid w:val="003469A1"/>
    <w:rsid w:val="00347C8E"/>
    <w:rsid w:val="00350360"/>
    <w:rsid w:val="003510E6"/>
    <w:rsid w:val="00354A5D"/>
    <w:rsid w:val="0035607D"/>
    <w:rsid w:val="00357922"/>
    <w:rsid w:val="00360410"/>
    <w:rsid w:val="0036125E"/>
    <w:rsid w:val="00365CEC"/>
    <w:rsid w:val="00371263"/>
    <w:rsid w:val="00372D61"/>
    <w:rsid w:val="003776C9"/>
    <w:rsid w:val="00384B31"/>
    <w:rsid w:val="00385A74"/>
    <w:rsid w:val="00387CC6"/>
    <w:rsid w:val="003907EA"/>
    <w:rsid w:val="00392981"/>
    <w:rsid w:val="003A254C"/>
    <w:rsid w:val="003A2BDC"/>
    <w:rsid w:val="003A34F5"/>
    <w:rsid w:val="003A4481"/>
    <w:rsid w:val="003A5A26"/>
    <w:rsid w:val="003B01CA"/>
    <w:rsid w:val="003B1D6D"/>
    <w:rsid w:val="003B24B6"/>
    <w:rsid w:val="003B3B0F"/>
    <w:rsid w:val="003B4D81"/>
    <w:rsid w:val="003B581A"/>
    <w:rsid w:val="003B757E"/>
    <w:rsid w:val="003C1404"/>
    <w:rsid w:val="003C3A10"/>
    <w:rsid w:val="003C56CD"/>
    <w:rsid w:val="003C63BB"/>
    <w:rsid w:val="003C748B"/>
    <w:rsid w:val="003D0D50"/>
    <w:rsid w:val="003D1028"/>
    <w:rsid w:val="003D678C"/>
    <w:rsid w:val="003E1C81"/>
    <w:rsid w:val="003E3F9B"/>
    <w:rsid w:val="003E442A"/>
    <w:rsid w:val="003E5A9C"/>
    <w:rsid w:val="003E5FBA"/>
    <w:rsid w:val="003E764E"/>
    <w:rsid w:val="003F3E10"/>
    <w:rsid w:val="003F416B"/>
    <w:rsid w:val="003F60FB"/>
    <w:rsid w:val="003F7746"/>
    <w:rsid w:val="00403A92"/>
    <w:rsid w:val="00411DEB"/>
    <w:rsid w:val="004120FE"/>
    <w:rsid w:val="00414BD3"/>
    <w:rsid w:val="00416575"/>
    <w:rsid w:val="00417F7F"/>
    <w:rsid w:val="004225DF"/>
    <w:rsid w:val="004233A3"/>
    <w:rsid w:val="004257D5"/>
    <w:rsid w:val="00426E75"/>
    <w:rsid w:val="004271C7"/>
    <w:rsid w:val="00432628"/>
    <w:rsid w:val="004342D9"/>
    <w:rsid w:val="004344D9"/>
    <w:rsid w:val="004361A9"/>
    <w:rsid w:val="0043670E"/>
    <w:rsid w:val="004374CA"/>
    <w:rsid w:val="0044166F"/>
    <w:rsid w:val="00443958"/>
    <w:rsid w:val="00443CD1"/>
    <w:rsid w:val="00453F8B"/>
    <w:rsid w:val="004551F7"/>
    <w:rsid w:val="0045652A"/>
    <w:rsid w:val="00462889"/>
    <w:rsid w:val="00463CF4"/>
    <w:rsid w:val="00464BC6"/>
    <w:rsid w:val="00466118"/>
    <w:rsid w:val="00470219"/>
    <w:rsid w:val="00475736"/>
    <w:rsid w:val="00480AE2"/>
    <w:rsid w:val="00483BEB"/>
    <w:rsid w:val="0048414F"/>
    <w:rsid w:val="00486185"/>
    <w:rsid w:val="00491598"/>
    <w:rsid w:val="004935F7"/>
    <w:rsid w:val="00495171"/>
    <w:rsid w:val="004A0440"/>
    <w:rsid w:val="004A1399"/>
    <w:rsid w:val="004A397C"/>
    <w:rsid w:val="004A4933"/>
    <w:rsid w:val="004A5445"/>
    <w:rsid w:val="004B28C4"/>
    <w:rsid w:val="004B3C6E"/>
    <w:rsid w:val="004B4F9A"/>
    <w:rsid w:val="004B74A5"/>
    <w:rsid w:val="004B7D0F"/>
    <w:rsid w:val="004C7133"/>
    <w:rsid w:val="004D04FA"/>
    <w:rsid w:val="004D0784"/>
    <w:rsid w:val="004D084B"/>
    <w:rsid w:val="004D0A0C"/>
    <w:rsid w:val="004D130E"/>
    <w:rsid w:val="004D16A5"/>
    <w:rsid w:val="004D1DBC"/>
    <w:rsid w:val="004D663A"/>
    <w:rsid w:val="004D7C10"/>
    <w:rsid w:val="004E25A7"/>
    <w:rsid w:val="004E50C3"/>
    <w:rsid w:val="004E5530"/>
    <w:rsid w:val="004E59FB"/>
    <w:rsid w:val="004E7786"/>
    <w:rsid w:val="004F1765"/>
    <w:rsid w:val="004F2186"/>
    <w:rsid w:val="004F29E5"/>
    <w:rsid w:val="004F5468"/>
    <w:rsid w:val="004F6496"/>
    <w:rsid w:val="00500256"/>
    <w:rsid w:val="00500516"/>
    <w:rsid w:val="00500E7F"/>
    <w:rsid w:val="005014A1"/>
    <w:rsid w:val="00502C26"/>
    <w:rsid w:val="00503818"/>
    <w:rsid w:val="005055EB"/>
    <w:rsid w:val="005067CB"/>
    <w:rsid w:val="0050685A"/>
    <w:rsid w:val="00506D78"/>
    <w:rsid w:val="00510CCD"/>
    <w:rsid w:val="005120C7"/>
    <w:rsid w:val="00514516"/>
    <w:rsid w:val="00514AA7"/>
    <w:rsid w:val="0052027B"/>
    <w:rsid w:val="00521116"/>
    <w:rsid w:val="00534BAD"/>
    <w:rsid w:val="0053519E"/>
    <w:rsid w:val="005367ED"/>
    <w:rsid w:val="005374FA"/>
    <w:rsid w:val="005375EC"/>
    <w:rsid w:val="0053760A"/>
    <w:rsid w:val="00540065"/>
    <w:rsid w:val="005405B2"/>
    <w:rsid w:val="0054143F"/>
    <w:rsid w:val="00541C40"/>
    <w:rsid w:val="00541D47"/>
    <w:rsid w:val="00546567"/>
    <w:rsid w:val="0054718E"/>
    <w:rsid w:val="00550D0A"/>
    <w:rsid w:val="00556FCE"/>
    <w:rsid w:val="00561213"/>
    <w:rsid w:val="00562664"/>
    <w:rsid w:val="00562E2F"/>
    <w:rsid w:val="00563769"/>
    <w:rsid w:val="0056538B"/>
    <w:rsid w:val="005754F7"/>
    <w:rsid w:val="005756E3"/>
    <w:rsid w:val="005758FE"/>
    <w:rsid w:val="005759CD"/>
    <w:rsid w:val="005771D4"/>
    <w:rsid w:val="0058194A"/>
    <w:rsid w:val="00581BA2"/>
    <w:rsid w:val="005823F5"/>
    <w:rsid w:val="005823F8"/>
    <w:rsid w:val="00583AFC"/>
    <w:rsid w:val="005845C6"/>
    <w:rsid w:val="005850A9"/>
    <w:rsid w:val="00586548"/>
    <w:rsid w:val="00590B68"/>
    <w:rsid w:val="00590BF9"/>
    <w:rsid w:val="005917A1"/>
    <w:rsid w:val="005940C1"/>
    <w:rsid w:val="005A1AAC"/>
    <w:rsid w:val="005A59E6"/>
    <w:rsid w:val="005A6B93"/>
    <w:rsid w:val="005B0816"/>
    <w:rsid w:val="005B13E1"/>
    <w:rsid w:val="005B1754"/>
    <w:rsid w:val="005B28E0"/>
    <w:rsid w:val="005B3337"/>
    <w:rsid w:val="005B36F5"/>
    <w:rsid w:val="005B3B25"/>
    <w:rsid w:val="005B51A5"/>
    <w:rsid w:val="005B562F"/>
    <w:rsid w:val="005B6D2A"/>
    <w:rsid w:val="005C03D5"/>
    <w:rsid w:val="005C062A"/>
    <w:rsid w:val="005C27DE"/>
    <w:rsid w:val="005C4098"/>
    <w:rsid w:val="005C5BCD"/>
    <w:rsid w:val="005C6B83"/>
    <w:rsid w:val="005C7DDD"/>
    <w:rsid w:val="005D2C01"/>
    <w:rsid w:val="005D43A8"/>
    <w:rsid w:val="005D46AD"/>
    <w:rsid w:val="005D777D"/>
    <w:rsid w:val="005E08F8"/>
    <w:rsid w:val="005E1A5A"/>
    <w:rsid w:val="005E20D7"/>
    <w:rsid w:val="005E25D3"/>
    <w:rsid w:val="005E3A09"/>
    <w:rsid w:val="005E46C2"/>
    <w:rsid w:val="005F1FEA"/>
    <w:rsid w:val="005F3CCB"/>
    <w:rsid w:val="005F65AE"/>
    <w:rsid w:val="005F77B0"/>
    <w:rsid w:val="00601B33"/>
    <w:rsid w:val="00605AB3"/>
    <w:rsid w:val="006060C2"/>
    <w:rsid w:val="00611C19"/>
    <w:rsid w:val="00613107"/>
    <w:rsid w:val="006142B3"/>
    <w:rsid w:val="00614B59"/>
    <w:rsid w:val="00615748"/>
    <w:rsid w:val="0061649B"/>
    <w:rsid w:val="00616770"/>
    <w:rsid w:val="00616906"/>
    <w:rsid w:val="00617AC1"/>
    <w:rsid w:val="006224BC"/>
    <w:rsid w:val="00627F4B"/>
    <w:rsid w:val="0063195F"/>
    <w:rsid w:val="006330CE"/>
    <w:rsid w:val="0063584F"/>
    <w:rsid w:val="006379C1"/>
    <w:rsid w:val="0064321D"/>
    <w:rsid w:val="00644C0B"/>
    <w:rsid w:val="00650775"/>
    <w:rsid w:val="00650FD5"/>
    <w:rsid w:val="00651B8D"/>
    <w:rsid w:val="00651D41"/>
    <w:rsid w:val="00656F9B"/>
    <w:rsid w:val="00664DA4"/>
    <w:rsid w:val="00667DB8"/>
    <w:rsid w:val="0067386F"/>
    <w:rsid w:val="006741FE"/>
    <w:rsid w:val="00677F71"/>
    <w:rsid w:val="00680731"/>
    <w:rsid w:val="00686D42"/>
    <w:rsid w:val="00686F1B"/>
    <w:rsid w:val="0068710C"/>
    <w:rsid w:val="00690C7C"/>
    <w:rsid w:val="00691308"/>
    <w:rsid w:val="00693429"/>
    <w:rsid w:val="0069590F"/>
    <w:rsid w:val="00696112"/>
    <w:rsid w:val="006969B6"/>
    <w:rsid w:val="00696D51"/>
    <w:rsid w:val="006A14BF"/>
    <w:rsid w:val="006A369D"/>
    <w:rsid w:val="006B1354"/>
    <w:rsid w:val="006B3C18"/>
    <w:rsid w:val="006B5191"/>
    <w:rsid w:val="006C1818"/>
    <w:rsid w:val="006C277B"/>
    <w:rsid w:val="006C3CCF"/>
    <w:rsid w:val="006C5D63"/>
    <w:rsid w:val="006D0B45"/>
    <w:rsid w:val="006D178E"/>
    <w:rsid w:val="006D3D62"/>
    <w:rsid w:val="006D45F4"/>
    <w:rsid w:val="006D5AC6"/>
    <w:rsid w:val="006E03AA"/>
    <w:rsid w:val="006E0BED"/>
    <w:rsid w:val="006E15D7"/>
    <w:rsid w:val="006E2F06"/>
    <w:rsid w:val="006E477D"/>
    <w:rsid w:val="006E7ECB"/>
    <w:rsid w:val="006F2DFC"/>
    <w:rsid w:val="006F3638"/>
    <w:rsid w:val="006F436D"/>
    <w:rsid w:val="006F453C"/>
    <w:rsid w:val="006F54C8"/>
    <w:rsid w:val="006F5ACD"/>
    <w:rsid w:val="006F6CEB"/>
    <w:rsid w:val="006F714B"/>
    <w:rsid w:val="00700B2C"/>
    <w:rsid w:val="007017E1"/>
    <w:rsid w:val="0070332C"/>
    <w:rsid w:val="007039EF"/>
    <w:rsid w:val="00704626"/>
    <w:rsid w:val="007101F8"/>
    <w:rsid w:val="00713680"/>
    <w:rsid w:val="007145D8"/>
    <w:rsid w:val="00715691"/>
    <w:rsid w:val="00715C4C"/>
    <w:rsid w:val="007175D5"/>
    <w:rsid w:val="00720B0C"/>
    <w:rsid w:val="00722396"/>
    <w:rsid w:val="00723BF3"/>
    <w:rsid w:val="0072773A"/>
    <w:rsid w:val="00727888"/>
    <w:rsid w:val="00730161"/>
    <w:rsid w:val="00731AC0"/>
    <w:rsid w:val="007365A1"/>
    <w:rsid w:val="007366FC"/>
    <w:rsid w:val="00742C56"/>
    <w:rsid w:val="0074692C"/>
    <w:rsid w:val="00747E2F"/>
    <w:rsid w:val="00751755"/>
    <w:rsid w:val="00751E51"/>
    <w:rsid w:val="0075423E"/>
    <w:rsid w:val="00755238"/>
    <w:rsid w:val="00762554"/>
    <w:rsid w:val="00762C87"/>
    <w:rsid w:val="00762FF5"/>
    <w:rsid w:val="00773A1D"/>
    <w:rsid w:val="00774FD8"/>
    <w:rsid w:val="00775D8B"/>
    <w:rsid w:val="00777028"/>
    <w:rsid w:val="0077784F"/>
    <w:rsid w:val="00784A98"/>
    <w:rsid w:val="00785EAA"/>
    <w:rsid w:val="00796191"/>
    <w:rsid w:val="007969AA"/>
    <w:rsid w:val="00796B79"/>
    <w:rsid w:val="007A2345"/>
    <w:rsid w:val="007A35AF"/>
    <w:rsid w:val="007A409C"/>
    <w:rsid w:val="007B2A5F"/>
    <w:rsid w:val="007B4036"/>
    <w:rsid w:val="007B4224"/>
    <w:rsid w:val="007B59BF"/>
    <w:rsid w:val="007C0800"/>
    <w:rsid w:val="007C09DE"/>
    <w:rsid w:val="007C3050"/>
    <w:rsid w:val="007D1F16"/>
    <w:rsid w:val="007D2EDE"/>
    <w:rsid w:val="007D36C4"/>
    <w:rsid w:val="007D3BEC"/>
    <w:rsid w:val="007D7931"/>
    <w:rsid w:val="007E2CA2"/>
    <w:rsid w:val="007F0B29"/>
    <w:rsid w:val="007F13A8"/>
    <w:rsid w:val="007F4969"/>
    <w:rsid w:val="007F5730"/>
    <w:rsid w:val="007F67D1"/>
    <w:rsid w:val="00800011"/>
    <w:rsid w:val="008001AC"/>
    <w:rsid w:val="008007D2"/>
    <w:rsid w:val="00802A85"/>
    <w:rsid w:val="00802CFF"/>
    <w:rsid w:val="008046B7"/>
    <w:rsid w:val="008052F8"/>
    <w:rsid w:val="008057F0"/>
    <w:rsid w:val="008076BC"/>
    <w:rsid w:val="00807F9B"/>
    <w:rsid w:val="0081148E"/>
    <w:rsid w:val="00817468"/>
    <w:rsid w:val="00822634"/>
    <w:rsid w:val="00822C8A"/>
    <w:rsid w:val="00825C40"/>
    <w:rsid w:val="00826724"/>
    <w:rsid w:val="00833085"/>
    <w:rsid w:val="0083625D"/>
    <w:rsid w:val="0083686D"/>
    <w:rsid w:val="00842D31"/>
    <w:rsid w:val="008462FE"/>
    <w:rsid w:val="00846651"/>
    <w:rsid w:val="00846AFE"/>
    <w:rsid w:val="008524CE"/>
    <w:rsid w:val="00862476"/>
    <w:rsid w:val="00863C59"/>
    <w:rsid w:val="00864F4F"/>
    <w:rsid w:val="00865716"/>
    <w:rsid w:val="00865BF0"/>
    <w:rsid w:val="00867003"/>
    <w:rsid w:val="00874FFE"/>
    <w:rsid w:val="00880916"/>
    <w:rsid w:val="00881684"/>
    <w:rsid w:val="008824EE"/>
    <w:rsid w:val="00882E0E"/>
    <w:rsid w:val="0088409C"/>
    <w:rsid w:val="00891FDF"/>
    <w:rsid w:val="008A1997"/>
    <w:rsid w:val="008A3DE1"/>
    <w:rsid w:val="008A3F0F"/>
    <w:rsid w:val="008A644E"/>
    <w:rsid w:val="008A7A18"/>
    <w:rsid w:val="008B0F84"/>
    <w:rsid w:val="008B4916"/>
    <w:rsid w:val="008C2A58"/>
    <w:rsid w:val="008C3DD1"/>
    <w:rsid w:val="008C63F5"/>
    <w:rsid w:val="008D03D0"/>
    <w:rsid w:val="008D24AC"/>
    <w:rsid w:val="008D7816"/>
    <w:rsid w:val="008E12C1"/>
    <w:rsid w:val="008E3035"/>
    <w:rsid w:val="008E4BB4"/>
    <w:rsid w:val="008E56F2"/>
    <w:rsid w:val="008F49BD"/>
    <w:rsid w:val="008F4F5A"/>
    <w:rsid w:val="009000EA"/>
    <w:rsid w:val="00904945"/>
    <w:rsid w:val="0091399B"/>
    <w:rsid w:val="00917D17"/>
    <w:rsid w:val="00925F0B"/>
    <w:rsid w:val="00935507"/>
    <w:rsid w:val="00937D02"/>
    <w:rsid w:val="0094073C"/>
    <w:rsid w:val="00941C75"/>
    <w:rsid w:val="00941CDF"/>
    <w:rsid w:val="00945236"/>
    <w:rsid w:val="00945C75"/>
    <w:rsid w:val="00946C11"/>
    <w:rsid w:val="009501C1"/>
    <w:rsid w:val="00953639"/>
    <w:rsid w:val="00953EED"/>
    <w:rsid w:val="009542C5"/>
    <w:rsid w:val="009566AB"/>
    <w:rsid w:val="0096336C"/>
    <w:rsid w:val="00963C36"/>
    <w:rsid w:val="009650B9"/>
    <w:rsid w:val="00966215"/>
    <w:rsid w:val="00973965"/>
    <w:rsid w:val="00975023"/>
    <w:rsid w:val="009755AB"/>
    <w:rsid w:val="00976126"/>
    <w:rsid w:val="00976EC4"/>
    <w:rsid w:val="00977FCA"/>
    <w:rsid w:val="00981F25"/>
    <w:rsid w:val="00984AEF"/>
    <w:rsid w:val="009921E1"/>
    <w:rsid w:val="00992C82"/>
    <w:rsid w:val="00996629"/>
    <w:rsid w:val="0099792C"/>
    <w:rsid w:val="00997AF2"/>
    <w:rsid w:val="009A1AAA"/>
    <w:rsid w:val="009A25FC"/>
    <w:rsid w:val="009A538C"/>
    <w:rsid w:val="009A5E03"/>
    <w:rsid w:val="009A6E5E"/>
    <w:rsid w:val="009A7F60"/>
    <w:rsid w:val="009B5CD1"/>
    <w:rsid w:val="009B6E19"/>
    <w:rsid w:val="009B7A60"/>
    <w:rsid w:val="009C1909"/>
    <w:rsid w:val="009C3DC2"/>
    <w:rsid w:val="009C421B"/>
    <w:rsid w:val="009C5343"/>
    <w:rsid w:val="009C5A48"/>
    <w:rsid w:val="009C607D"/>
    <w:rsid w:val="009D1951"/>
    <w:rsid w:val="009D1CCE"/>
    <w:rsid w:val="009D2445"/>
    <w:rsid w:val="009D25A7"/>
    <w:rsid w:val="009D296C"/>
    <w:rsid w:val="009E0063"/>
    <w:rsid w:val="009E17F0"/>
    <w:rsid w:val="009E57AE"/>
    <w:rsid w:val="009E7988"/>
    <w:rsid w:val="009E7F8C"/>
    <w:rsid w:val="009F4D79"/>
    <w:rsid w:val="009F6A2B"/>
    <w:rsid w:val="00A032F0"/>
    <w:rsid w:val="00A039CD"/>
    <w:rsid w:val="00A05A49"/>
    <w:rsid w:val="00A06192"/>
    <w:rsid w:val="00A06728"/>
    <w:rsid w:val="00A06D0A"/>
    <w:rsid w:val="00A13B9C"/>
    <w:rsid w:val="00A140B3"/>
    <w:rsid w:val="00A146F0"/>
    <w:rsid w:val="00A165B0"/>
    <w:rsid w:val="00A173D2"/>
    <w:rsid w:val="00A20627"/>
    <w:rsid w:val="00A20CEB"/>
    <w:rsid w:val="00A21C3E"/>
    <w:rsid w:val="00A22786"/>
    <w:rsid w:val="00A22F9E"/>
    <w:rsid w:val="00A23409"/>
    <w:rsid w:val="00A23692"/>
    <w:rsid w:val="00A237CC"/>
    <w:rsid w:val="00A23DE8"/>
    <w:rsid w:val="00A24CF6"/>
    <w:rsid w:val="00A252AF"/>
    <w:rsid w:val="00A3114D"/>
    <w:rsid w:val="00A3274F"/>
    <w:rsid w:val="00A32BBD"/>
    <w:rsid w:val="00A349FA"/>
    <w:rsid w:val="00A34C77"/>
    <w:rsid w:val="00A3513E"/>
    <w:rsid w:val="00A371E3"/>
    <w:rsid w:val="00A4115D"/>
    <w:rsid w:val="00A418DE"/>
    <w:rsid w:val="00A41A71"/>
    <w:rsid w:val="00A4344E"/>
    <w:rsid w:val="00A44DA2"/>
    <w:rsid w:val="00A46958"/>
    <w:rsid w:val="00A47DFD"/>
    <w:rsid w:val="00A5051F"/>
    <w:rsid w:val="00A507CA"/>
    <w:rsid w:val="00A513F5"/>
    <w:rsid w:val="00A52FDF"/>
    <w:rsid w:val="00A54165"/>
    <w:rsid w:val="00A54A5D"/>
    <w:rsid w:val="00A55A71"/>
    <w:rsid w:val="00A55B9F"/>
    <w:rsid w:val="00A5605F"/>
    <w:rsid w:val="00A64621"/>
    <w:rsid w:val="00A65F11"/>
    <w:rsid w:val="00A67245"/>
    <w:rsid w:val="00A7031B"/>
    <w:rsid w:val="00A72B5F"/>
    <w:rsid w:val="00A774D8"/>
    <w:rsid w:val="00A85A01"/>
    <w:rsid w:val="00A864F2"/>
    <w:rsid w:val="00A90F12"/>
    <w:rsid w:val="00A91273"/>
    <w:rsid w:val="00A947C3"/>
    <w:rsid w:val="00A97D0A"/>
    <w:rsid w:val="00AA05C7"/>
    <w:rsid w:val="00AA0AD1"/>
    <w:rsid w:val="00AA244C"/>
    <w:rsid w:val="00AA3ACD"/>
    <w:rsid w:val="00AB0994"/>
    <w:rsid w:val="00AB20FD"/>
    <w:rsid w:val="00AB272B"/>
    <w:rsid w:val="00AB37C6"/>
    <w:rsid w:val="00AB69DB"/>
    <w:rsid w:val="00AB7F46"/>
    <w:rsid w:val="00AC31ED"/>
    <w:rsid w:val="00AC6CCE"/>
    <w:rsid w:val="00AC6E60"/>
    <w:rsid w:val="00AD03F7"/>
    <w:rsid w:val="00AD0641"/>
    <w:rsid w:val="00AD0BF4"/>
    <w:rsid w:val="00AD0D15"/>
    <w:rsid w:val="00AD33CB"/>
    <w:rsid w:val="00AD5F4D"/>
    <w:rsid w:val="00AD6CC0"/>
    <w:rsid w:val="00AE01F9"/>
    <w:rsid w:val="00AE081A"/>
    <w:rsid w:val="00AE0FEA"/>
    <w:rsid w:val="00AE27E8"/>
    <w:rsid w:val="00AE311D"/>
    <w:rsid w:val="00AE3A4C"/>
    <w:rsid w:val="00AE5CC4"/>
    <w:rsid w:val="00AE701A"/>
    <w:rsid w:val="00AE75BC"/>
    <w:rsid w:val="00AF0302"/>
    <w:rsid w:val="00AF1F3E"/>
    <w:rsid w:val="00AF2C0A"/>
    <w:rsid w:val="00AF5A1C"/>
    <w:rsid w:val="00B02CB7"/>
    <w:rsid w:val="00B06887"/>
    <w:rsid w:val="00B0719E"/>
    <w:rsid w:val="00B1020B"/>
    <w:rsid w:val="00B12368"/>
    <w:rsid w:val="00B1532B"/>
    <w:rsid w:val="00B2068C"/>
    <w:rsid w:val="00B20CB4"/>
    <w:rsid w:val="00B21B71"/>
    <w:rsid w:val="00B21DC6"/>
    <w:rsid w:val="00B2336B"/>
    <w:rsid w:val="00B234BF"/>
    <w:rsid w:val="00B301B8"/>
    <w:rsid w:val="00B305B0"/>
    <w:rsid w:val="00B314CD"/>
    <w:rsid w:val="00B34B32"/>
    <w:rsid w:val="00B367C7"/>
    <w:rsid w:val="00B42294"/>
    <w:rsid w:val="00B42474"/>
    <w:rsid w:val="00B4588B"/>
    <w:rsid w:val="00B45947"/>
    <w:rsid w:val="00B45EB6"/>
    <w:rsid w:val="00B46674"/>
    <w:rsid w:val="00B4690B"/>
    <w:rsid w:val="00B474B9"/>
    <w:rsid w:val="00B50C00"/>
    <w:rsid w:val="00B57EEE"/>
    <w:rsid w:val="00B61EF4"/>
    <w:rsid w:val="00B626D4"/>
    <w:rsid w:val="00B633F9"/>
    <w:rsid w:val="00B646B8"/>
    <w:rsid w:val="00B706D8"/>
    <w:rsid w:val="00B74572"/>
    <w:rsid w:val="00B8096D"/>
    <w:rsid w:val="00B847F0"/>
    <w:rsid w:val="00B85154"/>
    <w:rsid w:val="00B85F6C"/>
    <w:rsid w:val="00B86246"/>
    <w:rsid w:val="00B86BF8"/>
    <w:rsid w:val="00B86C41"/>
    <w:rsid w:val="00B86C4D"/>
    <w:rsid w:val="00B9081D"/>
    <w:rsid w:val="00B93233"/>
    <w:rsid w:val="00B94BCE"/>
    <w:rsid w:val="00B956D9"/>
    <w:rsid w:val="00BA4AA1"/>
    <w:rsid w:val="00BA5403"/>
    <w:rsid w:val="00BA61CA"/>
    <w:rsid w:val="00BA73AA"/>
    <w:rsid w:val="00BA7A84"/>
    <w:rsid w:val="00BB0BF6"/>
    <w:rsid w:val="00BB1026"/>
    <w:rsid w:val="00BB73E8"/>
    <w:rsid w:val="00BB78E0"/>
    <w:rsid w:val="00BC19D8"/>
    <w:rsid w:val="00BC2716"/>
    <w:rsid w:val="00BC68C0"/>
    <w:rsid w:val="00BC7C39"/>
    <w:rsid w:val="00BD1ACE"/>
    <w:rsid w:val="00BD3451"/>
    <w:rsid w:val="00BD39E3"/>
    <w:rsid w:val="00BD63F0"/>
    <w:rsid w:val="00BD6A08"/>
    <w:rsid w:val="00BD6E52"/>
    <w:rsid w:val="00BE1AF5"/>
    <w:rsid w:val="00BE22F1"/>
    <w:rsid w:val="00BE6137"/>
    <w:rsid w:val="00BE6725"/>
    <w:rsid w:val="00BE67CC"/>
    <w:rsid w:val="00BE69C6"/>
    <w:rsid w:val="00BE69FC"/>
    <w:rsid w:val="00BE727F"/>
    <w:rsid w:val="00BE7FAB"/>
    <w:rsid w:val="00BF0799"/>
    <w:rsid w:val="00BF2639"/>
    <w:rsid w:val="00BF57CA"/>
    <w:rsid w:val="00BF6166"/>
    <w:rsid w:val="00BF684F"/>
    <w:rsid w:val="00C007E7"/>
    <w:rsid w:val="00C00CD8"/>
    <w:rsid w:val="00C02E18"/>
    <w:rsid w:val="00C054F7"/>
    <w:rsid w:val="00C063EC"/>
    <w:rsid w:val="00C06FBD"/>
    <w:rsid w:val="00C07A64"/>
    <w:rsid w:val="00C07CB1"/>
    <w:rsid w:val="00C11FCB"/>
    <w:rsid w:val="00C137D8"/>
    <w:rsid w:val="00C1483A"/>
    <w:rsid w:val="00C14A5F"/>
    <w:rsid w:val="00C158C9"/>
    <w:rsid w:val="00C179B3"/>
    <w:rsid w:val="00C17B14"/>
    <w:rsid w:val="00C20FD9"/>
    <w:rsid w:val="00C24B07"/>
    <w:rsid w:val="00C2524A"/>
    <w:rsid w:val="00C25BA6"/>
    <w:rsid w:val="00C33DAE"/>
    <w:rsid w:val="00C41085"/>
    <w:rsid w:val="00C427FF"/>
    <w:rsid w:val="00C45DDB"/>
    <w:rsid w:val="00C476E1"/>
    <w:rsid w:val="00C52C64"/>
    <w:rsid w:val="00C53443"/>
    <w:rsid w:val="00C535A1"/>
    <w:rsid w:val="00C57F81"/>
    <w:rsid w:val="00C60A27"/>
    <w:rsid w:val="00C61019"/>
    <w:rsid w:val="00C62378"/>
    <w:rsid w:val="00C64064"/>
    <w:rsid w:val="00C653E1"/>
    <w:rsid w:val="00C6550F"/>
    <w:rsid w:val="00C72F2A"/>
    <w:rsid w:val="00C73247"/>
    <w:rsid w:val="00C74253"/>
    <w:rsid w:val="00C7599B"/>
    <w:rsid w:val="00C77EFB"/>
    <w:rsid w:val="00C80144"/>
    <w:rsid w:val="00C87F31"/>
    <w:rsid w:val="00C90DE0"/>
    <w:rsid w:val="00C94505"/>
    <w:rsid w:val="00CA12C9"/>
    <w:rsid w:val="00CA3985"/>
    <w:rsid w:val="00CA5448"/>
    <w:rsid w:val="00CA5716"/>
    <w:rsid w:val="00CA680A"/>
    <w:rsid w:val="00CA714A"/>
    <w:rsid w:val="00CB2859"/>
    <w:rsid w:val="00CB5AE8"/>
    <w:rsid w:val="00CB6721"/>
    <w:rsid w:val="00CB68FE"/>
    <w:rsid w:val="00CB7B6F"/>
    <w:rsid w:val="00CC0A01"/>
    <w:rsid w:val="00CC7AA9"/>
    <w:rsid w:val="00CD1694"/>
    <w:rsid w:val="00CD340A"/>
    <w:rsid w:val="00CD5B4E"/>
    <w:rsid w:val="00CE1A45"/>
    <w:rsid w:val="00CE4E9D"/>
    <w:rsid w:val="00CE6D57"/>
    <w:rsid w:val="00CE6DCF"/>
    <w:rsid w:val="00CF1141"/>
    <w:rsid w:val="00CF2508"/>
    <w:rsid w:val="00CF5113"/>
    <w:rsid w:val="00D01CE4"/>
    <w:rsid w:val="00D02DAE"/>
    <w:rsid w:val="00D11CD5"/>
    <w:rsid w:val="00D14B5B"/>
    <w:rsid w:val="00D159E9"/>
    <w:rsid w:val="00D20610"/>
    <w:rsid w:val="00D21F39"/>
    <w:rsid w:val="00D232AC"/>
    <w:rsid w:val="00D27B3E"/>
    <w:rsid w:val="00D313AF"/>
    <w:rsid w:val="00D33D13"/>
    <w:rsid w:val="00D348F3"/>
    <w:rsid w:val="00D376A1"/>
    <w:rsid w:val="00D43DE7"/>
    <w:rsid w:val="00D454BB"/>
    <w:rsid w:val="00D45DDF"/>
    <w:rsid w:val="00D464FE"/>
    <w:rsid w:val="00D46CF0"/>
    <w:rsid w:val="00D51442"/>
    <w:rsid w:val="00D52007"/>
    <w:rsid w:val="00D52118"/>
    <w:rsid w:val="00D53C5D"/>
    <w:rsid w:val="00D54535"/>
    <w:rsid w:val="00D6153C"/>
    <w:rsid w:val="00D61C17"/>
    <w:rsid w:val="00D63133"/>
    <w:rsid w:val="00D63299"/>
    <w:rsid w:val="00D6381F"/>
    <w:rsid w:val="00D63DCA"/>
    <w:rsid w:val="00D658DC"/>
    <w:rsid w:val="00D66FA1"/>
    <w:rsid w:val="00D721B3"/>
    <w:rsid w:val="00D73390"/>
    <w:rsid w:val="00D7358A"/>
    <w:rsid w:val="00D76974"/>
    <w:rsid w:val="00D8064A"/>
    <w:rsid w:val="00D80DB7"/>
    <w:rsid w:val="00D85461"/>
    <w:rsid w:val="00D87D14"/>
    <w:rsid w:val="00D9004E"/>
    <w:rsid w:val="00D93D1C"/>
    <w:rsid w:val="00D94CFC"/>
    <w:rsid w:val="00D94E7A"/>
    <w:rsid w:val="00D9596B"/>
    <w:rsid w:val="00D96D3F"/>
    <w:rsid w:val="00D97265"/>
    <w:rsid w:val="00DA070E"/>
    <w:rsid w:val="00DA67BF"/>
    <w:rsid w:val="00DA6A2C"/>
    <w:rsid w:val="00DA7AF0"/>
    <w:rsid w:val="00DA7F2B"/>
    <w:rsid w:val="00DB00CE"/>
    <w:rsid w:val="00DB03A7"/>
    <w:rsid w:val="00DB0FA2"/>
    <w:rsid w:val="00DB2353"/>
    <w:rsid w:val="00DB325C"/>
    <w:rsid w:val="00DB43F1"/>
    <w:rsid w:val="00DB586D"/>
    <w:rsid w:val="00DB5F77"/>
    <w:rsid w:val="00DC2696"/>
    <w:rsid w:val="00DC2E9B"/>
    <w:rsid w:val="00DC4550"/>
    <w:rsid w:val="00DC4AA7"/>
    <w:rsid w:val="00DD13D3"/>
    <w:rsid w:val="00DD3FD1"/>
    <w:rsid w:val="00DD5942"/>
    <w:rsid w:val="00DD6039"/>
    <w:rsid w:val="00DD61DA"/>
    <w:rsid w:val="00DE01B2"/>
    <w:rsid w:val="00DE1D8C"/>
    <w:rsid w:val="00DE3B30"/>
    <w:rsid w:val="00DE46BC"/>
    <w:rsid w:val="00DE5578"/>
    <w:rsid w:val="00DE569E"/>
    <w:rsid w:val="00DE6630"/>
    <w:rsid w:val="00DE6993"/>
    <w:rsid w:val="00DF0B0D"/>
    <w:rsid w:val="00DF2E1B"/>
    <w:rsid w:val="00DF387E"/>
    <w:rsid w:val="00DF5036"/>
    <w:rsid w:val="00DF6F18"/>
    <w:rsid w:val="00E03492"/>
    <w:rsid w:val="00E03FD5"/>
    <w:rsid w:val="00E069C2"/>
    <w:rsid w:val="00E069CD"/>
    <w:rsid w:val="00E0731C"/>
    <w:rsid w:val="00E12EF8"/>
    <w:rsid w:val="00E12F66"/>
    <w:rsid w:val="00E1698F"/>
    <w:rsid w:val="00E24D41"/>
    <w:rsid w:val="00E305E4"/>
    <w:rsid w:val="00E34117"/>
    <w:rsid w:val="00E35319"/>
    <w:rsid w:val="00E367BD"/>
    <w:rsid w:val="00E36CF1"/>
    <w:rsid w:val="00E37704"/>
    <w:rsid w:val="00E40F3E"/>
    <w:rsid w:val="00E40FD2"/>
    <w:rsid w:val="00E410D8"/>
    <w:rsid w:val="00E45F0C"/>
    <w:rsid w:val="00E46F5D"/>
    <w:rsid w:val="00E52275"/>
    <w:rsid w:val="00E52A1C"/>
    <w:rsid w:val="00E52A2A"/>
    <w:rsid w:val="00E53387"/>
    <w:rsid w:val="00E60B8D"/>
    <w:rsid w:val="00E60FE3"/>
    <w:rsid w:val="00E61550"/>
    <w:rsid w:val="00E61B52"/>
    <w:rsid w:val="00E628DB"/>
    <w:rsid w:val="00E647BB"/>
    <w:rsid w:val="00E65542"/>
    <w:rsid w:val="00E70234"/>
    <w:rsid w:val="00E70B38"/>
    <w:rsid w:val="00E8075E"/>
    <w:rsid w:val="00E87E8A"/>
    <w:rsid w:val="00E9577C"/>
    <w:rsid w:val="00E973B9"/>
    <w:rsid w:val="00EA1317"/>
    <w:rsid w:val="00EA75F5"/>
    <w:rsid w:val="00EB162B"/>
    <w:rsid w:val="00EB26BD"/>
    <w:rsid w:val="00EB7AFF"/>
    <w:rsid w:val="00EC06CB"/>
    <w:rsid w:val="00EC1F6B"/>
    <w:rsid w:val="00EC272A"/>
    <w:rsid w:val="00EC2B61"/>
    <w:rsid w:val="00EE05A7"/>
    <w:rsid w:val="00EE12D2"/>
    <w:rsid w:val="00EE746D"/>
    <w:rsid w:val="00EE7778"/>
    <w:rsid w:val="00EF0023"/>
    <w:rsid w:val="00EF0760"/>
    <w:rsid w:val="00EF0DCD"/>
    <w:rsid w:val="00EF5848"/>
    <w:rsid w:val="00EF7A4C"/>
    <w:rsid w:val="00F002BC"/>
    <w:rsid w:val="00F0458C"/>
    <w:rsid w:val="00F10B21"/>
    <w:rsid w:val="00F11F71"/>
    <w:rsid w:val="00F1414D"/>
    <w:rsid w:val="00F160A3"/>
    <w:rsid w:val="00F202A7"/>
    <w:rsid w:val="00F2342A"/>
    <w:rsid w:val="00F23794"/>
    <w:rsid w:val="00F24B91"/>
    <w:rsid w:val="00F255EB"/>
    <w:rsid w:val="00F25DDC"/>
    <w:rsid w:val="00F26BA0"/>
    <w:rsid w:val="00F27D0F"/>
    <w:rsid w:val="00F30800"/>
    <w:rsid w:val="00F3252C"/>
    <w:rsid w:val="00F33C83"/>
    <w:rsid w:val="00F35C59"/>
    <w:rsid w:val="00F370ED"/>
    <w:rsid w:val="00F37766"/>
    <w:rsid w:val="00F42282"/>
    <w:rsid w:val="00F423D6"/>
    <w:rsid w:val="00F43844"/>
    <w:rsid w:val="00F51079"/>
    <w:rsid w:val="00F51609"/>
    <w:rsid w:val="00F52A45"/>
    <w:rsid w:val="00F52CB9"/>
    <w:rsid w:val="00F5486A"/>
    <w:rsid w:val="00F555D4"/>
    <w:rsid w:val="00F55CCB"/>
    <w:rsid w:val="00F56A5E"/>
    <w:rsid w:val="00F56F10"/>
    <w:rsid w:val="00F5792B"/>
    <w:rsid w:val="00F57D4B"/>
    <w:rsid w:val="00F6706C"/>
    <w:rsid w:val="00F81891"/>
    <w:rsid w:val="00F81C13"/>
    <w:rsid w:val="00F860D4"/>
    <w:rsid w:val="00F93069"/>
    <w:rsid w:val="00F935BE"/>
    <w:rsid w:val="00F93780"/>
    <w:rsid w:val="00F951AD"/>
    <w:rsid w:val="00F96C56"/>
    <w:rsid w:val="00FA5E20"/>
    <w:rsid w:val="00FB1B58"/>
    <w:rsid w:val="00FB5205"/>
    <w:rsid w:val="00FC4290"/>
    <w:rsid w:val="00FC43E7"/>
    <w:rsid w:val="00FC55C0"/>
    <w:rsid w:val="00FC5EE0"/>
    <w:rsid w:val="00FC6C3D"/>
    <w:rsid w:val="00FC79D0"/>
    <w:rsid w:val="00FD2947"/>
    <w:rsid w:val="00FD2FAB"/>
    <w:rsid w:val="00FD3880"/>
    <w:rsid w:val="00FD7A78"/>
    <w:rsid w:val="00FE55A2"/>
    <w:rsid w:val="00FE74AD"/>
    <w:rsid w:val="00FF04F8"/>
    <w:rsid w:val="00FF132A"/>
    <w:rsid w:val="00FF132F"/>
    <w:rsid w:val="00FF7726"/>
    <w:rsid w:val="00FF7899"/>
    <w:rsid w:val="15F0A360"/>
    <w:rsid w:val="18BF8D84"/>
    <w:rsid w:val="467217DE"/>
    <w:rsid w:val="47FB4898"/>
    <w:rsid w:val="70F9D294"/>
    <w:rsid w:val="75A1D3C4"/>
    <w:rsid w:val="7A2986AA"/>
    <w:rsid w:val="7A405127"/>
    <w:rsid w:val="7BC4E5A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1B6B8"/>
  <w15:docId w15:val="{8605E925-42E0-4501-87D5-D6678E193A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4FD0"/>
    <w:pPr>
      <w:widowControl w:val="0"/>
      <w:spacing w:after="0" w:line="240" w:lineRule="auto"/>
    </w:pPr>
    <w:rPr>
      <w:rFonts w:ascii="Courier New" w:hAnsi="Courier New" w:eastAsia="Times New Roman" w:cs="Times New Roman"/>
      <w:sz w:val="20"/>
      <w:szCs w:val="20"/>
      <w:lang w:val="es-ES_tradnl"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01B33"/>
    <w:pPr>
      <w:spacing w:after="0" w:line="240" w:lineRule="auto"/>
    </w:pPr>
  </w:style>
  <w:style w:type="paragraph" w:styleId="ListParagraph">
    <w:name w:val="List Paragraph"/>
    <w:basedOn w:val="Normal"/>
    <w:link w:val="ListParagraphChar"/>
    <w:uiPriority w:val="34"/>
    <w:qFormat/>
    <w:rsid w:val="00D9004E"/>
    <w:pPr>
      <w:ind w:left="720"/>
      <w:contextualSpacing/>
    </w:pPr>
  </w:style>
  <w:style w:type="paragraph" w:styleId="Header">
    <w:name w:val="header"/>
    <w:basedOn w:val="Normal"/>
    <w:link w:val="HeaderChar"/>
    <w:uiPriority w:val="99"/>
    <w:unhideWhenUsed/>
    <w:rsid w:val="003A254C"/>
    <w:pPr>
      <w:tabs>
        <w:tab w:val="center" w:pos="4419"/>
        <w:tab w:val="right" w:pos="8838"/>
      </w:tabs>
    </w:pPr>
  </w:style>
  <w:style w:type="character" w:styleId="HeaderChar" w:customStyle="1">
    <w:name w:val="Header Char"/>
    <w:basedOn w:val="DefaultParagraphFont"/>
    <w:link w:val="Header"/>
    <w:uiPriority w:val="99"/>
    <w:rsid w:val="003A254C"/>
    <w:rPr>
      <w:rFonts w:ascii="Courier New" w:hAnsi="Courier New" w:eastAsia="Times New Roman" w:cs="Times New Roman"/>
      <w:sz w:val="20"/>
      <w:szCs w:val="20"/>
      <w:lang w:val="es-ES_tradnl" w:eastAsia="es-ES"/>
    </w:rPr>
  </w:style>
  <w:style w:type="paragraph" w:styleId="Footer">
    <w:name w:val="footer"/>
    <w:basedOn w:val="Normal"/>
    <w:link w:val="FooterChar"/>
    <w:uiPriority w:val="99"/>
    <w:unhideWhenUsed/>
    <w:rsid w:val="003A254C"/>
    <w:pPr>
      <w:tabs>
        <w:tab w:val="center" w:pos="4419"/>
        <w:tab w:val="right" w:pos="8838"/>
      </w:tabs>
    </w:pPr>
  </w:style>
  <w:style w:type="character" w:styleId="FooterChar" w:customStyle="1">
    <w:name w:val="Footer Char"/>
    <w:basedOn w:val="DefaultParagraphFont"/>
    <w:link w:val="Footer"/>
    <w:uiPriority w:val="99"/>
    <w:rsid w:val="003A254C"/>
    <w:rPr>
      <w:rFonts w:ascii="Courier New" w:hAnsi="Courier New" w:eastAsia="Times New Roman" w:cs="Times New Roman"/>
      <w:sz w:val="20"/>
      <w:szCs w:val="20"/>
      <w:lang w:val="es-ES_tradnl" w:eastAsia="es-ES"/>
    </w:rPr>
  </w:style>
  <w:style w:type="paragraph" w:styleId="BalloonText">
    <w:name w:val="Balloon Text"/>
    <w:basedOn w:val="Normal"/>
    <w:link w:val="BalloonTextChar"/>
    <w:uiPriority w:val="99"/>
    <w:semiHidden/>
    <w:unhideWhenUsed/>
    <w:rsid w:val="009755AB"/>
    <w:rPr>
      <w:rFonts w:ascii="Tahoma" w:hAnsi="Tahoma" w:cs="Tahoma"/>
      <w:sz w:val="16"/>
      <w:szCs w:val="16"/>
    </w:rPr>
  </w:style>
  <w:style w:type="character" w:styleId="BalloonTextChar" w:customStyle="1">
    <w:name w:val="Balloon Text Char"/>
    <w:basedOn w:val="DefaultParagraphFont"/>
    <w:link w:val="BalloonText"/>
    <w:uiPriority w:val="99"/>
    <w:semiHidden/>
    <w:rsid w:val="009755AB"/>
    <w:rPr>
      <w:rFonts w:ascii="Tahoma" w:hAnsi="Tahoma" w:eastAsia="Times New Roman" w:cs="Tahoma"/>
      <w:sz w:val="16"/>
      <w:szCs w:val="16"/>
      <w:lang w:val="es-ES_tradnl" w:eastAsia="es-ES"/>
    </w:rPr>
  </w:style>
  <w:style w:type="paragraph" w:styleId="NormalWeb">
    <w:name w:val="Normal (Web)"/>
    <w:basedOn w:val="Normal"/>
    <w:uiPriority w:val="99"/>
    <w:unhideWhenUsed/>
    <w:rsid w:val="008524CE"/>
    <w:pPr>
      <w:widowControl/>
      <w:spacing w:before="100" w:beforeAutospacing="1" w:after="100" w:afterAutospacing="1"/>
    </w:pPr>
    <w:rPr>
      <w:rFonts w:ascii="Times New Roman" w:hAnsi="Times New Roman"/>
      <w:sz w:val="24"/>
      <w:szCs w:val="24"/>
      <w:lang w:val="es-PE" w:eastAsia="es-PE"/>
    </w:rPr>
  </w:style>
  <w:style w:type="character" w:styleId="Emphasis">
    <w:name w:val="Emphasis"/>
    <w:basedOn w:val="DefaultParagraphFont"/>
    <w:uiPriority w:val="20"/>
    <w:qFormat/>
    <w:rsid w:val="00C20FD9"/>
    <w:rPr>
      <w:i/>
      <w:iCs/>
    </w:rPr>
  </w:style>
  <w:style w:type="character" w:styleId="FootnoteReference">
    <w:name w:val="footnote reference"/>
    <w:basedOn w:val="DefaultParagraphFont"/>
    <w:uiPriority w:val="99"/>
    <w:unhideWhenUsed/>
    <w:rsid w:val="00605AB3"/>
    <w:rPr>
      <w:vertAlign w:val="superscript"/>
    </w:rPr>
  </w:style>
  <w:style w:type="paragraph" w:styleId="ListBullet">
    <w:name w:val="List Bullet"/>
    <w:basedOn w:val="Normal"/>
    <w:uiPriority w:val="99"/>
    <w:unhideWhenUsed/>
    <w:rsid w:val="00C7599B"/>
    <w:pPr>
      <w:numPr>
        <w:numId w:val="2"/>
      </w:numPr>
      <w:contextualSpacing/>
    </w:pPr>
  </w:style>
  <w:style w:type="character" w:styleId="CommentReference">
    <w:name w:val="annotation reference"/>
    <w:basedOn w:val="DefaultParagraphFont"/>
    <w:uiPriority w:val="99"/>
    <w:semiHidden/>
    <w:unhideWhenUsed/>
    <w:rsid w:val="005771D4"/>
    <w:rPr>
      <w:sz w:val="16"/>
      <w:szCs w:val="16"/>
    </w:rPr>
  </w:style>
  <w:style w:type="paragraph" w:styleId="CommentText">
    <w:name w:val="annotation text"/>
    <w:basedOn w:val="Normal"/>
    <w:link w:val="CommentTextChar"/>
    <w:uiPriority w:val="99"/>
    <w:semiHidden/>
    <w:unhideWhenUsed/>
    <w:rsid w:val="005771D4"/>
  </w:style>
  <w:style w:type="character" w:styleId="CommentTextChar" w:customStyle="1">
    <w:name w:val="Comment Text Char"/>
    <w:basedOn w:val="DefaultParagraphFont"/>
    <w:link w:val="CommentText"/>
    <w:uiPriority w:val="99"/>
    <w:semiHidden/>
    <w:rsid w:val="005771D4"/>
    <w:rPr>
      <w:rFonts w:ascii="Courier New" w:hAnsi="Courier New" w:eastAsia="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5771D4"/>
    <w:rPr>
      <w:b/>
      <w:bCs/>
    </w:rPr>
  </w:style>
  <w:style w:type="character" w:styleId="CommentSubjectChar" w:customStyle="1">
    <w:name w:val="Comment Subject Char"/>
    <w:basedOn w:val="CommentTextChar"/>
    <w:link w:val="CommentSubject"/>
    <w:uiPriority w:val="99"/>
    <w:semiHidden/>
    <w:rsid w:val="005771D4"/>
    <w:rPr>
      <w:rFonts w:ascii="Courier New" w:hAnsi="Courier New" w:eastAsia="Times New Roman" w:cs="Times New Roman"/>
      <w:b/>
      <w:bCs/>
      <w:sz w:val="20"/>
      <w:szCs w:val="20"/>
      <w:lang w:val="es-ES_tradnl" w:eastAsia="es-ES"/>
    </w:rPr>
  </w:style>
  <w:style w:type="paragraph" w:styleId="FootnoteText">
    <w:name w:val="footnote text"/>
    <w:basedOn w:val="Normal"/>
    <w:link w:val="FootnoteTextChar"/>
    <w:uiPriority w:val="99"/>
    <w:unhideWhenUsed/>
    <w:rsid w:val="00BB0BF6"/>
  </w:style>
  <w:style w:type="character" w:styleId="FootnoteTextChar" w:customStyle="1">
    <w:name w:val="Footnote Text Char"/>
    <w:basedOn w:val="DefaultParagraphFont"/>
    <w:link w:val="FootnoteText"/>
    <w:uiPriority w:val="99"/>
    <w:rsid w:val="00BB0BF6"/>
    <w:rPr>
      <w:rFonts w:ascii="Courier New" w:hAnsi="Courier New" w:eastAsia="Times New Roman" w:cs="Times New Roman"/>
      <w:sz w:val="20"/>
      <w:szCs w:val="20"/>
      <w:lang w:val="es-ES_tradnl" w:eastAsia="es-ES"/>
    </w:rPr>
  </w:style>
  <w:style w:type="table" w:styleId="TableGrid">
    <w:name w:val="Table Grid"/>
    <w:basedOn w:val="TableNormal"/>
    <w:uiPriority w:val="59"/>
    <w:rsid w:val="00B367C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CE6DCF"/>
    <w:rPr>
      <w:color w:val="0000FF" w:themeColor="hyperlink"/>
      <w:u w:val="single"/>
    </w:rPr>
  </w:style>
  <w:style w:type="character" w:styleId="UnresolvedMention">
    <w:name w:val="Unresolved Mention"/>
    <w:basedOn w:val="DefaultParagraphFont"/>
    <w:uiPriority w:val="99"/>
    <w:semiHidden/>
    <w:unhideWhenUsed/>
    <w:rsid w:val="00CE6DCF"/>
    <w:rPr>
      <w:color w:val="808080"/>
      <w:shd w:val="clear" w:color="auto" w:fill="E6E6E6"/>
    </w:rPr>
  </w:style>
  <w:style w:type="table" w:styleId="TableGridLight">
    <w:name w:val="Grid Table Light"/>
    <w:basedOn w:val="TableNormal"/>
    <w:uiPriority w:val="40"/>
    <w:rsid w:val="00B847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GridTable1Light">
    <w:name w:val="Grid Table 1 Light"/>
    <w:basedOn w:val="TableNormal"/>
    <w:uiPriority w:val="46"/>
    <w:rsid w:val="00B847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ListParagraphChar" w:customStyle="1">
    <w:name w:val="List Paragraph Char"/>
    <w:link w:val="ListParagraph"/>
    <w:uiPriority w:val="34"/>
    <w:locked/>
    <w:rsid w:val="00DF387E"/>
    <w:rPr>
      <w:rFonts w:ascii="Courier New" w:hAnsi="Courier New" w:eastAsia="Times New Roman" w:cs="Times New Roman"/>
      <w:sz w:val="20"/>
      <w:szCs w:val="20"/>
      <w:lang w:val="es-ES_tradnl" w:eastAsia="es-ES"/>
    </w:rPr>
  </w:style>
  <w:style w:type="character" w:styleId="normaltextrun" w:customStyle="1">
    <w:name w:val="normaltextrun"/>
    <w:basedOn w:val="DefaultParagraphFont"/>
    <w:rsid w:val="00DF387E"/>
  </w:style>
  <w:style w:type="paragraph" w:styleId="paragraph" w:customStyle="1">
    <w:name w:val="paragraph"/>
    <w:basedOn w:val="Normal"/>
    <w:rsid w:val="004B28C4"/>
    <w:pPr>
      <w:widowControl/>
      <w:spacing w:before="100" w:beforeAutospacing="1" w:after="100" w:afterAutospacing="1"/>
    </w:pPr>
    <w:rPr>
      <w:rFonts w:ascii="Times New Roman" w:hAnsi="Times New Roman"/>
      <w:sz w:val="24"/>
      <w:szCs w:val="24"/>
      <w:lang w:val="en-US" w:eastAsia="en-US"/>
    </w:rPr>
  </w:style>
  <w:style w:type="character" w:styleId="eop" w:customStyle="1">
    <w:name w:val="eop"/>
    <w:basedOn w:val="DefaultParagraphFont"/>
    <w:rsid w:val="004B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063">
      <w:bodyDiv w:val="1"/>
      <w:marLeft w:val="0"/>
      <w:marRight w:val="0"/>
      <w:marTop w:val="0"/>
      <w:marBottom w:val="0"/>
      <w:divBdr>
        <w:top w:val="none" w:sz="0" w:space="0" w:color="auto"/>
        <w:left w:val="none" w:sz="0" w:space="0" w:color="auto"/>
        <w:bottom w:val="none" w:sz="0" w:space="0" w:color="auto"/>
        <w:right w:val="none" w:sz="0" w:space="0" w:color="auto"/>
      </w:divBdr>
    </w:div>
    <w:div w:id="219366827">
      <w:bodyDiv w:val="1"/>
      <w:marLeft w:val="0"/>
      <w:marRight w:val="0"/>
      <w:marTop w:val="0"/>
      <w:marBottom w:val="0"/>
      <w:divBdr>
        <w:top w:val="none" w:sz="0" w:space="0" w:color="auto"/>
        <w:left w:val="none" w:sz="0" w:space="0" w:color="auto"/>
        <w:bottom w:val="none" w:sz="0" w:space="0" w:color="auto"/>
        <w:right w:val="none" w:sz="0" w:space="0" w:color="auto"/>
      </w:divBdr>
    </w:div>
    <w:div w:id="222526196">
      <w:bodyDiv w:val="1"/>
      <w:marLeft w:val="0"/>
      <w:marRight w:val="0"/>
      <w:marTop w:val="0"/>
      <w:marBottom w:val="0"/>
      <w:divBdr>
        <w:top w:val="none" w:sz="0" w:space="0" w:color="auto"/>
        <w:left w:val="none" w:sz="0" w:space="0" w:color="auto"/>
        <w:bottom w:val="none" w:sz="0" w:space="0" w:color="auto"/>
        <w:right w:val="none" w:sz="0" w:space="0" w:color="auto"/>
      </w:divBdr>
    </w:div>
    <w:div w:id="246502093">
      <w:bodyDiv w:val="1"/>
      <w:marLeft w:val="0"/>
      <w:marRight w:val="0"/>
      <w:marTop w:val="0"/>
      <w:marBottom w:val="0"/>
      <w:divBdr>
        <w:top w:val="none" w:sz="0" w:space="0" w:color="auto"/>
        <w:left w:val="none" w:sz="0" w:space="0" w:color="auto"/>
        <w:bottom w:val="none" w:sz="0" w:space="0" w:color="auto"/>
        <w:right w:val="none" w:sz="0" w:space="0" w:color="auto"/>
      </w:divBdr>
    </w:div>
    <w:div w:id="376047408">
      <w:bodyDiv w:val="1"/>
      <w:marLeft w:val="0"/>
      <w:marRight w:val="0"/>
      <w:marTop w:val="0"/>
      <w:marBottom w:val="0"/>
      <w:divBdr>
        <w:top w:val="none" w:sz="0" w:space="0" w:color="auto"/>
        <w:left w:val="none" w:sz="0" w:space="0" w:color="auto"/>
        <w:bottom w:val="none" w:sz="0" w:space="0" w:color="auto"/>
        <w:right w:val="none" w:sz="0" w:space="0" w:color="auto"/>
      </w:divBdr>
    </w:div>
    <w:div w:id="390734394">
      <w:bodyDiv w:val="1"/>
      <w:marLeft w:val="0"/>
      <w:marRight w:val="0"/>
      <w:marTop w:val="0"/>
      <w:marBottom w:val="0"/>
      <w:divBdr>
        <w:top w:val="none" w:sz="0" w:space="0" w:color="auto"/>
        <w:left w:val="none" w:sz="0" w:space="0" w:color="auto"/>
        <w:bottom w:val="none" w:sz="0" w:space="0" w:color="auto"/>
        <w:right w:val="none" w:sz="0" w:space="0" w:color="auto"/>
      </w:divBdr>
    </w:div>
    <w:div w:id="423575161">
      <w:bodyDiv w:val="1"/>
      <w:marLeft w:val="0"/>
      <w:marRight w:val="0"/>
      <w:marTop w:val="0"/>
      <w:marBottom w:val="0"/>
      <w:divBdr>
        <w:top w:val="none" w:sz="0" w:space="0" w:color="auto"/>
        <w:left w:val="none" w:sz="0" w:space="0" w:color="auto"/>
        <w:bottom w:val="none" w:sz="0" w:space="0" w:color="auto"/>
        <w:right w:val="none" w:sz="0" w:space="0" w:color="auto"/>
      </w:divBdr>
    </w:div>
    <w:div w:id="551965472">
      <w:bodyDiv w:val="1"/>
      <w:marLeft w:val="0"/>
      <w:marRight w:val="0"/>
      <w:marTop w:val="0"/>
      <w:marBottom w:val="0"/>
      <w:divBdr>
        <w:top w:val="none" w:sz="0" w:space="0" w:color="auto"/>
        <w:left w:val="none" w:sz="0" w:space="0" w:color="auto"/>
        <w:bottom w:val="none" w:sz="0" w:space="0" w:color="auto"/>
        <w:right w:val="none" w:sz="0" w:space="0" w:color="auto"/>
      </w:divBdr>
    </w:div>
    <w:div w:id="610092680">
      <w:bodyDiv w:val="1"/>
      <w:marLeft w:val="0"/>
      <w:marRight w:val="0"/>
      <w:marTop w:val="0"/>
      <w:marBottom w:val="0"/>
      <w:divBdr>
        <w:top w:val="none" w:sz="0" w:space="0" w:color="auto"/>
        <w:left w:val="none" w:sz="0" w:space="0" w:color="auto"/>
        <w:bottom w:val="none" w:sz="0" w:space="0" w:color="auto"/>
        <w:right w:val="none" w:sz="0" w:space="0" w:color="auto"/>
      </w:divBdr>
    </w:div>
    <w:div w:id="639387788">
      <w:bodyDiv w:val="1"/>
      <w:marLeft w:val="0"/>
      <w:marRight w:val="0"/>
      <w:marTop w:val="0"/>
      <w:marBottom w:val="0"/>
      <w:divBdr>
        <w:top w:val="none" w:sz="0" w:space="0" w:color="auto"/>
        <w:left w:val="none" w:sz="0" w:space="0" w:color="auto"/>
        <w:bottom w:val="none" w:sz="0" w:space="0" w:color="auto"/>
        <w:right w:val="none" w:sz="0" w:space="0" w:color="auto"/>
      </w:divBdr>
    </w:div>
    <w:div w:id="741757888">
      <w:bodyDiv w:val="1"/>
      <w:marLeft w:val="0"/>
      <w:marRight w:val="0"/>
      <w:marTop w:val="0"/>
      <w:marBottom w:val="0"/>
      <w:divBdr>
        <w:top w:val="none" w:sz="0" w:space="0" w:color="auto"/>
        <w:left w:val="none" w:sz="0" w:space="0" w:color="auto"/>
        <w:bottom w:val="none" w:sz="0" w:space="0" w:color="auto"/>
        <w:right w:val="none" w:sz="0" w:space="0" w:color="auto"/>
      </w:divBdr>
    </w:div>
    <w:div w:id="776876573">
      <w:bodyDiv w:val="1"/>
      <w:marLeft w:val="0"/>
      <w:marRight w:val="0"/>
      <w:marTop w:val="0"/>
      <w:marBottom w:val="0"/>
      <w:divBdr>
        <w:top w:val="none" w:sz="0" w:space="0" w:color="auto"/>
        <w:left w:val="none" w:sz="0" w:space="0" w:color="auto"/>
        <w:bottom w:val="none" w:sz="0" w:space="0" w:color="auto"/>
        <w:right w:val="none" w:sz="0" w:space="0" w:color="auto"/>
      </w:divBdr>
    </w:div>
    <w:div w:id="818808541">
      <w:bodyDiv w:val="1"/>
      <w:marLeft w:val="0"/>
      <w:marRight w:val="0"/>
      <w:marTop w:val="0"/>
      <w:marBottom w:val="0"/>
      <w:divBdr>
        <w:top w:val="none" w:sz="0" w:space="0" w:color="auto"/>
        <w:left w:val="none" w:sz="0" w:space="0" w:color="auto"/>
        <w:bottom w:val="none" w:sz="0" w:space="0" w:color="auto"/>
        <w:right w:val="none" w:sz="0" w:space="0" w:color="auto"/>
      </w:divBdr>
    </w:div>
    <w:div w:id="850724709">
      <w:bodyDiv w:val="1"/>
      <w:marLeft w:val="0"/>
      <w:marRight w:val="0"/>
      <w:marTop w:val="0"/>
      <w:marBottom w:val="0"/>
      <w:divBdr>
        <w:top w:val="none" w:sz="0" w:space="0" w:color="auto"/>
        <w:left w:val="none" w:sz="0" w:space="0" w:color="auto"/>
        <w:bottom w:val="none" w:sz="0" w:space="0" w:color="auto"/>
        <w:right w:val="none" w:sz="0" w:space="0" w:color="auto"/>
      </w:divBdr>
    </w:div>
    <w:div w:id="866404515">
      <w:bodyDiv w:val="1"/>
      <w:marLeft w:val="0"/>
      <w:marRight w:val="0"/>
      <w:marTop w:val="0"/>
      <w:marBottom w:val="0"/>
      <w:divBdr>
        <w:top w:val="none" w:sz="0" w:space="0" w:color="auto"/>
        <w:left w:val="none" w:sz="0" w:space="0" w:color="auto"/>
        <w:bottom w:val="none" w:sz="0" w:space="0" w:color="auto"/>
        <w:right w:val="none" w:sz="0" w:space="0" w:color="auto"/>
      </w:divBdr>
    </w:div>
    <w:div w:id="901797080">
      <w:bodyDiv w:val="1"/>
      <w:marLeft w:val="0"/>
      <w:marRight w:val="0"/>
      <w:marTop w:val="0"/>
      <w:marBottom w:val="0"/>
      <w:divBdr>
        <w:top w:val="none" w:sz="0" w:space="0" w:color="auto"/>
        <w:left w:val="none" w:sz="0" w:space="0" w:color="auto"/>
        <w:bottom w:val="none" w:sz="0" w:space="0" w:color="auto"/>
        <w:right w:val="none" w:sz="0" w:space="0" w:color="auto"/>
      </w:divBdr>
    </w:div>
    <w:div w:id="960914627">
      <w:bodyDiv w:val="1"/>
      <w:marLeft w:val="0"/>
      <w:marRight w:val="0"/>
      <w:marTop w:val="0"/>
      <w:marBottom w:val="0"/>
      <w:divBdr>
        <w:top w:val="none" w:sz="0" w:space="0" w:color="auto"/>
        <w:left w:val="none" w:sz="0" w:space="0" w:color="auto"/>
        <w:bottom w:val="none" w:sz="0" w:space="0" w:color="auto"/>
        <w:right w:val="none" w:sz="0" w:space="0" w:color="auto"/>
      </w:divBdr>
    </w:div>
    <w:div w:id="982581440">
      <w:bodyDiv w:val="1"/>
      <w:marLeft w:val="0"/>
      <w:marRight w:val="0"/>
      <w:marTop w:val="0"/>
      <w:marBottom w:val="0"/>
      <w:divBdr>
        <w:top w:val="none" w:sz="0" w:space="0" w:color="auto"/>
        <w:left w:val="none" w:sz="0" w:space="0" w:color="auto"/>
        <w:bottom w:val="none" w:sz="0" w:space="0" w:color="auto"/>
        <w:right w:val="none" w:sz="0" w:space="0" w:color="auto"/>
      </w:divBdr>
    </w:div>
    <w:div w:id="1151336671">
      <w:bodyDiv w:val="1"/>
      <w:marLeft w:val="0"/>
      <w:marRight w:val="0"/>
      <w:marTop w:val="0"/>
      <w:marBottom w:val="0"/>
      <w:divBdr>
        <w:top w:val="none" w:sz="0" w:space="0" w:color="auto"/>
        <w:left w:val="none" w:sz="0" w:space="0" w:color="auto"/>
        <w:bottom w:val="none" w:sz="0" w:space="0" w:color="auto"/>
        <w:right w:val="none" w:sz="0" w:space="0" w:color="auto"/>
      </w:divBdr>
    </w:div>
    <w:div w:id="1309238877">
      <w:bodyDiv w:val="1"/>
      <w:marLeft w:val="0"/>
      <w:marRight w:val="0"/>
      <w:marTop w:val="0"/>
      <w:marBottom w:val="0"/>
      <w:divBdr>
        <w:top w:val="none" w:sz="0" w:space="0" w:color="auto"/>
        <w:left w:val="none" w:sz="0" w:space="0" w:color="auto"/>
        <w:bottom w:val="none" w:sz="0" w:space="0" w:color="auto"/>
        <w:right w:val="none" w:sz="0" w:space="0" w:color="auto"/>
      </w:divBdr>
    </w:div>
    <w:div w:id="1354769908">
      <w:bodyDiv w:val="1"/>
      <w:marLeft w:val="0"/>
      <w:marRight w:val="0"/>
      <w:marTop w:val="0"/>
      <w:marBottom w:val="0"/>
      <w:divBdr>
        <w:top w:val="none" w:sz="0" w:space="0" w:color="auto"/>
        <w:left w:val="none" w:sz="0" w:space="0" w:color="auto"/>
        <w:bottom w:val="none" w:sz="0" w:space="0" w:color="auto"/>
        <w:right w:val="none" w:sz="0" w:space="0" w:color="auto"/>
      </w:divBdr>
    </w:div>
    <w:div w:id="1366059955">
      <w:bodyDiv w:val="1"/>
      <w:marLeft w:val="0"/>
      <w:marRight w:val="0"/>
      <w:marTop w:val="0"/>
      <w:marBottom w:val="0"/>
      <w:divBdr>
        <w:top w:val="none" w:sz="0" w:space="0" w:color="auto"/>
        <w:left w:val="none" w:sz="0" w:space="0" w:color="auto"/>
        <w:bottom w:val="none" w:sz="0" w:space="0" w:color="auto"/>
        <w:right w:val="none" w:sz="0" w:space="0" w:color="auto"/>
      </w:divBdr>
    </w:div>
    <w:div w:id="1461458336">
      <w:bodyDiv w:val="1"/>
      <w:marLeft w:val="0"/>
      <w:marRight w:val="0"/>
      <w:marTop w:val="0"/>
      <w:marBottom w:val="0"/>
      <w:divBdr>
        <w:top w:val="none" w:sz="0" w:space="0" w:color="auto"/>
        <w:left w:val="none" w:sz="0" w:space="0" w:color="auto"/>
        <w:bottom w:val="none" w:sz="0" w:space="0" w:color="auto"/>
        <w:right w:val="none" w:sz="0" w:space="0" w:color="auto"/>
      </w:divBdr>
    </w:div>
    <w:div w:id="1608078459">
      <w:bodyDiv w:val="1"/>
      <w:marLeft w:val="0"/>
      <w:marRight w:val="0"/>
      <w:marTop w:val="0"/>
      <w:marBottom w:val="0"/>
      <w:divBdr>
        <w:top w:val="none" w:sz="0" w:space="0" w:color="auto"/>
        <w:left w:val="none" w:sz="0" w:space="0" w:color="auto"/>
        <w:bottom w:val="none" w:sz="0" w:space="0" w:color="auto"/>
        <w:right w:val="none" w:sz="0" w:space="0" w:color="auto"/>
      </w:divBdr>
    </w:div>
    <w:div w:id="1613201085">
      <w:bodyDiv w:val="1"/>
      <w:marLeft w:val="0"/>
      <w:marRight w:val="0"/>
      <w:marTop w:val="0"/>
      <w:marBottom w:val="0"/>
      <w:divBdr>
        <w:top w:val="none" w:sz="0" w:space="0" w:color="auto"/>
        <w:left w:val="none" w:sz="0" w:space="0" w:color="auto"/>
        <w:bottom w:val="none" w:sz="0" w:space="0" w:color="auto"/>
        <w:right w:val="none" w:sz="0" w:space="0" w:color="auto"/>
      </w:divBdr>
    </w:div>
    <w:div w:id="1672563138">
      <w:bodyDiv w:val="1"/>
      <w:marLeft w:val="0"/>
      <w:marRight w:val="0"/>
      <w:marTop w:val="0"/>
      <w:marBottom w:val="0"/>
      <w:divBdr>
        <w:top w:val="none" w:sz="0" w:space="0" w:color="auto"/>
        <w:left w:val="none" w:sz="0" w:space="0" w:color="auto"/>
        <w:bottom w:val="none" w:sz="0" w:space="0" w:color="auto"/>
        <w:right w:val="none" w:sz="0" w:space="0" w:color="auto"/>
      </w:divBdr>
    </w:div>
    <w:div w:id="1804350740">
      <w:bodyDiv w:val="1"/>
      <w:marLeft w:val="0"/>
      <w:marRight w:val="0"/>
      <w:marTop w:val="0"/>
      <w:marBottom w:val="0"/>
      <w:divBdr>
        <w:top w:val="none" w:sz="0" w:space="0" w:color="auto"/>
        <w:left w:val="none" w:sz="0" w:space="0" w:color="auto"/>
        <w:bottom w:val="none" w:sz="0" w:space="0" w:color="auto"/>
        <w:right w:val="none" w:sz="0" w:space="0" w:color="auto"/>
      </w:divBdr>
    </w:div>
    <w:div w:id="2135950831">
      <w:bodyDiv w:val="1"/>
      <w:marLeft w:val="0"/>
      <w:marRight w:val="0"/>
      <w:marTop w:val="0"/>
      <w:marBottom w:val="0"/>
      <w:divBdr>
        <w:top w:val="none" w:sz="0" w:space="0" w:color="auto"/>
        <w:left w:val="none" w:sz="0" w:space="0" w:color="auto"/>
        <w:bottom w:val="none" w:sz="0" w:space="0" w:color="auto"/>
        <w:right w:val="none" w:sz="0" w:space="0" w:color="auto"/>
      </w:divBdr>
    </w:div>
    <w:div w:id="21436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image" Target="/media/image2.png" Id="R1a2bfc31174d4f61"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url?sa=i&amp;rct=j&amp;q=&amp;esrc=s&amp;frm=1&amp;source=images&amp;cd=&amp;cad=rja&amp;uact=8&amp;ved=0CAcQjRxqFQoTCMP0jqvG7MYCFQHAcgodty4Ktg&amp;url=http://www.ship.gr/news6/apm53.htm&amp;ei=n2auVYOpEIGAywO33aiwCw&amp;bvm=bv.98197061,d.bGQ&amp;psig=AFQjCNGJKZYAFqvfHd_FIZ7SVH7V2v28Yg&amp;ust=1437579219451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8339c2-70df-466d-a87c-c50721f3d6e1" xsi:nil="true"/>
    <lcf76f155ced4ddcb4097134ff3c332f xmlns="826df968-5a55-402f-9ae7-2fae91e5d0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F354419B51914880E1C1EAD9BA2200" ma:contentTypeVersion="15" ma:contentTypeDescription="Create a new document." ma:contentTypeScope="" ma:versionID="688b4968c40b507c6286234c6a19ae36">
  <xsd:schema xmlns:xsd="http://www.w3.org/2001/XMLSchema" xmlns:xs="http://www.w3.org/2001/XMLSchema" xmlns:p="http://schemas.microsoft.com/office/2006/metadata/properties" xmlns:ns2="826df968-5a55-402f-9ae7-2fae91e5d076" xmlns:ns3="c18339c2-70df-466d-a87c-c50721f3d6e1" targetNamespace="http://schemas.microsoft.com/office/2006/metadata/properties" ma:root="true" ma:fieldsID="3752678f134a59adf79731b745770176" ns2:_="" ns3:_="">
    <xsd:import namespace="826df968-5a55-402f-9ae7-2fae91e5d076"/>
    <xsd:import namespace="c18339c2-70df-466d-a87c-c50721f3d6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f968-5a55-402f-9ae7-2fae91e5d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972f45-99e4-4d95-9530-8f5071224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8339c2-70df-466d-a87c-c50721f3d6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38189e-fc60-4cd5-929c-9dd2ce497801}" ma:internalName="TaxCatchAll" ma:showField="CatchAllData" ma:web="c18339c2-70df-466d-a87c-c50721f3d6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8EFA2-34DE-4CFB-88DB-6640C218CF2B}">
  <ds:schemaRefs>
    <ds:schemaRef ds:uri="http://schemas.microsoft.com/office/2006/metadata/properties"/>
    <ds:schemaRef ds:uri="http://schemas.microsoft.com/office/infopath/2007/PartnerControls"/>
    <ds:schemaRef ds:uri="c18339c2-70df-466d-a87c-c50721f3d6e1"/>
    <ds:schemaRef ds:uri="826df968-5a55-402f-9ae7-2fae91e5d076"/>
  </ds:schemaRefs>
</ds:datastoreItem>
</file>

<file path=customXml/itemProps2.xml><?xml version="1.0" encoding="utf-8"?>
<ds:datastoreItem xmlns:ds="http://schemas.openxmlformats.org/officeDocument/2006/customXml" ds:itemID="{FFC748AB-F9FB-48A7-9D08-E83131367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f968-5a55-402f-9ae7-2fae91e5d076"/>
    <ds:schemaRef ds:uri="c18339c2-70df-466d-a87c-c50721f3d6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E8660-BAA3-4182-B084-FD8243CF0542}">
  <ds:schemaRefs>
    <ds:schemaRef ds:uri="http://schemas.microsoft.com/sharepoint/v3/contenttype/forms"/>
  </ds:schemaRefs>
</ds:datastoreItem>
</file>

<file path=customXml/itemProps4.xml><?xml version="1.0" encoding="utf-8"?>
<ds:datastoreItem xmlns:ds="http://schemas.openxmlformats.org/officeDocument/2006/customXml" ds:itemID="{2C9FB26C-EF68-461C-B443-BA9E1481C5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APMM</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Velazco, Eliana Patricia</dc:creator>
  <cp:lastModifiedBy>Deepak Nandwani</cp:lastModifiedBy>
  <cp:revision>7</cp:revision>
  <cp:lastPrinted>2022-11-29T20:59:00Z</cp:lastPrinted>
  <dcterms:created xsi:type="dcterms:W3CDTF">2023-04-26T13:13:00Z</dcterms:created>
  <dcterms:modified xsi:type="dcterms:W3CDTF">2023-04-26T16:44:27Z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1743369997</vt:i4>
  </property>
  <property fmtid="{D5CDD505-2E9C-101B-9397-08002B2CF9AE}" pid="3" name="ContentTypeId">
    <vt:lpwstr>0x0101004FF354419B51914880E1C1EAD9BA2200</vt:lpwstr>
  </property>
  <property fmtid="{D5CDD505-2E9C-101B-9397-08002B2CF9AE}" pid="4" name="MediaServiceImageTags">
    <vt:lpwstr/>
  </property>
  <property fmtid="{D5CDD505-2E9C-101B-9397-08002B2CF9AE}" pid="5" name="MSIP_Label_71bba39d-4745-4e9d-97db-0c1927b54242_Enabled">
    <vt:lpwstr>true</vt:lpwstr>
  </property>
  <property fmtid="{D5CDD505-2E9C-101B-9397-08002B2CF9AE}" pid="6" name="MSIP_Label_71bba39d-4745-4e9d-97db-0c1927b54242_SetDate">
    <vt:lpwstr>2023-04-26T15:51:03Z</vt:lpwstr>
  </property>
  <property fmtid="{D5CDD505-2E9C-101B-9397-08002B2CF9AE}" pid="7" name="MSIP_Label_71bba39d-4745-4e9d-97db-0c1927b54242_Method">
    <vt:lpwstr>Privileged</vt:lpwstr>
  </property>
  <property fmtid="{D5CDD505-2E9C-101B-9397-08002B2CF9AE}" pid="8" name="MSIP_Label_71bba39d-4745-4e9d-97db-0c1927b54242_Name">
    <vt:lpwstr>Internal</vt:lpwstr>
  </property>
  <property fmtid="{D5CDD505-2E9C-101B-9397-08002B2CF9AE}" pid="9" name="MSIP_Label_71bba39d-4745-4e9d-97db-0c1927b54242_SiteId">
    <vt:lpwstr>05d75c05-fa1a-42e7-9cf1-eb416c396f2d</vt:lpwstr>
  </property>
  <property fmtid="{D5CDD505-2E9C-101B-9397-08002B2CF9AE}" pid="10" name="MSIP_Label_71bba39d-4745-4e9d-97db-0c1927b54242_ActionId">
    <vt:lpwstr>ec0eebdd-840c-46b1-a318-d1e454322b93</vt:lpwstr>
  </property>
  <property fmtid="{D5CDD505-2E9C-101B-9397-08002B2CF9AE}" pid="11" name="MSIP_Label_71bba39d-4745-4e9d-97db-0c1927b54242_ContentBits">
    <vt:lpwstr>2</vt:lpwstr>
  </property>
</Properties>
</file>